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99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464"/>
        <w:gridCol w:w="5528"/>
      </w:tblGrid>
      <w:tr>
        <w:trPr/>
        <w:tc>
          <w:tcPr>
            <w:tcW w:w="9992" w:type="dxa"/>
            <w:gridSpan w:val="2"/>
            <w:tcBorders>
              <w:top w:val="single" w:sz="6" w:space="0" w:color="000000"/>
              <w:left w:val="single" w:sz="6" w:space="0" w:color="000000"/>
              <w:right w:val="single" w:sz="6" w:space="0" w:color="000000"/>
            </w:tcBorders>
          </w:tcPr>
          <w:p>
            <w:pPr>
              <w:pStyle w:val="Normal"/>
              <w:widowControl w:val="false"/>
              <w:jc w:val="center"/>
              <w:rPr>
                <w:sz w:val="24"/>
                <w:szCs w:val="24"/>
              </w:rPr>
            </w:pPr>
            <w:r>
              <w:rPr>
                <w:sz w:val="24"/>
                <w:szCs w:val="24"/>
              </w:rPr>
              <w:t>Mateřská škola Trpín</w:t>
            </w:r>
            <w:r>
              <w:rPr>
                <w:sz w:val="24"/>
                <w:szCs w:val="24"/>
              </w:rPr>
              <w:t>, příspěvková organizace</w:t>
            </w:r>
          </w:p>
          <w:p>
            <w:pPr>
              <w:pStyle w:val="Normal"/>
              <w:widowControl w:val="false"/>
              <w:jc w:val="center"/>
              <w:rPr>
                <w:sz w:val="24"/>
                <w:szCs w:val="24"/>
              </w:rPr>
            </w:pPr>
            <w:r>
              <w:rPr>
                <w:sz w:val="24"/>
                <w:szCs w:val="24"/>
              </w:rPr>
              <w:t>se sídlem</w:t>
            </w:r>
          </w:p>
        </w:tc>
      </w:tr>
      <w:tr>
        <w:trPr>
          <w:cantSplit w:val="true"/>
        </w:trPr>
        <w:tc>
          <w:tcPr>
            <w:tcW w:w="999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jc w:val="center"/>
              <w:rPr>
                <w:color w:val="0000FF"/>
                <w:sz w:val="24"/>
              </w:rPr>
            </w:pPr>
            <w:r>
              <w:rPr>
                <w:b/>
                <w:caps/>
                <w:color w:val="0000FF"/>
                <w:sz w:val="24"/>
              </w:rPr>
              <w:t xml:space="preserve">3. </w:t>
            </w:r>
            <w:r>
              <w:rPr>
                <w:b/>
                <w:caps/>
                <w:color w:val="0000FF"/>
                <w:sz w:val="24"/>
                <w:szCs w:val="40"/>
              </w:rPr>
              <w:t>Směrnice k prevenci RIZIKOVÉHO CHOVÁNÍ</w:t>
            </w:r>
          </w:p>
        </w:tc>
      </w:tr>
      <w:tr>
        <w:trPr/>
        <w:tc>
          <w:tcPr>
            <w:tcW w:w="44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color w:val="0000FF"/>
                <w:sz w:val="24"/>
                <w:szCs w:val="24"/>
              </w:rPr>
            </w:pPr>
            <w:r>
              <w:rPr>
                <w:color w:val="0000FF"/>
                <w:sz w:val="24"/>
                <w:szCs w:val="24"/>
              </w:rPr>
              <w:t>spisový, skartační znak</w:t>
            </w:r>
          </w:p>
        </w:tc>
        <w:tc>
          <w:tcPr>
            <w:tcW w:w="552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b/>
                <w:b/>
                <w:color w:val="0000FF"/>
                <w:sz w:val="24"/>
                <w:szCs w:val="24"/>
              </w:rPr>
            </w:pPr>
            <w:r>
              <w:rPr>
                <w:b/>
                <w:color w:val="0000FF"/>
                <w:sz w:val="24"/>
                <w:szCs w:val="24"/>
              </w:rPr>
              <w:t xml:space="preserve">    </w:t>
            </w:r>
            <w:r>
              <w:rPr>
                <w:b/>
                <w:color w:val="0000FF"/>
                <w:sz w:val="24"/>
                <w:szCs w:val="24"/>
              </w:rPr>
              <w:t>202</w:t>
            </w:r>
            <w:r>
              <w:rPr>
                <w:b/>
                <w:color w:val="0000FF"/>
                <w:sz w:val="24"/>
                <w:szCs w:val="24"/>
              </w:rPr>
              <w:t>5</w:t>
            </w:r>
            <w:r>
              <w:rPr>
                <w:b/>
                <w:color w:val="0000FF"/>
                <w:sz w:val="24"/>
                <w:szCs w:val="24"/>
              </w:rPr>
              <w:t xml:space="preserve">            A1                           V5</w:t>
            </w:r>
          </w:p>
        </w:tc>
      </w:tr>
      <w:tr>
        <w:trPr/>
        <w:tc>
          <w:tcPr>
            <w:tcW w:w="44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 w:val="24"/>
                <w:szCs w:val="24"/>
              </w:rPr>
              <w:t>Vypracoval:</w:t>
            </w:r>
          </w:p>
        </w:tc>
        <w:tc>
          <w:tcPr>
            <w:tcW w:w="5528" w:type="dxa"/>
            <w:tcBorders>
              <w:top w:val="single" w:sz="6" w:space="0" w:color="000000"/>
              <w:left w:val="single" w:sz="6" w:space="0" w:color="000000"/>
              <w:bottom w:val="single" w:sz="6" w:space="0" w:color="000000"/>
              <w:right w:val="single" w:sz="6" w:space="0" w:color="000000"/>
            </w:tcBorders>
          </w:tcPr>
          <w:p>
            <w:pPr>
              <w:pStyle w:val="DefinitionTerm"/>
              <w:widowControl w:val="false"/>
              <w:spacing w:lineRule="atLeast" w:line="240" w:before="120" w:after="0"/>
              <w:jc w:val="right"/>
              <w:rPr>
                <w:szCs w:val="24"/>
              </w:rPr>
            </w:pPr>
            <w:r>
              <w:rPr>
                <w:szCs w:val="24"/>
              </w:rPr>
              <w:t>Mgr. Alena Tichá</w:t>
            </w:r>
            <w:r>
              <w:rPr>
                <w:szCs w:val="24"/>
              </w:rPr>
              <w:t>, ředitel</w:t>
            </w:r>
            <w:r>
              <w:rPr>
                <w:szCs w:val="24"/>
              </w:rPr>
              <w:t>ka</w:t>
            </w:r>
            <w:r>
              <w:rPr>
                <w:szCs w:val="24"/>
              </w:rPr>
              <w:t xml:space="preserve"> školy</w:t>
            </w:r>
          </w:p>
        </w:tc>
      </w:tr>
      <w:tr>
        <w:trPr/>
        <w:tc>
          <w:tcPr>
            <w:tcW w:w="44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Cs w:val="24"/>
              </w:rPr>
              <w:t>Vydal:</w:t>
            </w:r>
          </w:p>
        </w:tc>
        <w:tc>
          <w:tcPr>
            <w:tcW w:w="552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jc w:val="right"/>
              <w:rPr>
                <w:sz w:val="24"/>
                <w:szCs w:val="24"/>
              </w:rPr>
            </w:pPr>
            <w:r>
              <w:rPr>
                <w:sz w:val="24"/>
                <w:szCs w:val="24"/>
              </w:rPr>
              <w:t>Mgr. Alena Tichá</w:t>
            </w:r>
            <w:r>
              <w:rPr>
                <w:sz w:val="24"/>
                <w:szCs w:val="24"/>
              </w:rPr>
              <w:t>, ředitel školy</w:t>
            </w:r>
          </w:p>
          <w:p>
            <w:pPr>
              <w:pStyle w:val="Normal"/>
              <w:widowControl w:val="false"/>
              <w:spacing w:lineRule="atLeast" w:line="240" w:before="120" w:after="0"/>
              <w:jc w:val="right"/>
              <w:rPr>
                <w:sz w:val="24"/>
                <w:szCs w:val="24"/>
              </w:rPr>
            </w:pPr>
            <w:r>
              <w:rPr>
                <w:sz w:val="24"/>
                <w:szCs w:val="24"/>
              </w:rPr>
            </w:r>
          </w:p>
        </w:tc>
      </w:tr>
      <w:tr>
        <w:trPr/>
        <w:tc>
          <w:tcPr>
            <w:tcW w:w="44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 w:val="24"/>
                <w:szCs w:val="24"/>
              </w:rPr>
              <w:t>Pedagogická rada projednala dne</w:t>
            </w:r>
          </w:p>
        </w:tc>
        <w:tc>
          <w:tcPr>
            <w:tcW w:w="552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 w:val="24"/>
                <w:szCs w:val="24"/>
              </w:rPr>
              <w:t>27.8.2024</w:t>
            </w:r>
          </w:p>
        </w:tc>
      </w:tr>
      <w:tr>
        <w:trPr/>
        <w:tc>
          <w:tcPr>
            <w:tcW w:w="44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 w:val="24"/>
                <w:szCs w:val="24"/>
              </w:rPr>
              <w:t>Směrnice nabývá platnosti ode dne:</w:t>
            </w:r>
          </w:p>
        </w:tc>
        <w:tc>
          <w:tcPr>
            <w:tcW w:w="552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 w:val="24"/>
                <w:szCs w:val="24"/>
              </w:rPr>
              <w:t>2.9.2024</w:t>
            </w:r>
          </w:p>
        </w:tc>
      </w:tr>
      <w:tr>
        <w:trPr/>
        <w:tc>
          <w:tcPr>
            <w:tcW w:w="44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 w:val="24"/>
                <w:szCs w:val="24"/>
              </w:rPr>
              <w:t>Směrnice nabývá účinnosti ode dne:</w:t>
            </w:r>
          </w:p>
        </w:tc>
        <w:tc>
          <w:tcPr>
            <w:tcW w:w="552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 w:val="24"/>
                <w:szCs w:val="24"/>
              </w:rPr>
            </w:pPr>
            <w:r>
              <w:rPr>
                <w:sz w:val="24"/>
                <w:szCs w:val="24"/>
              </w:rPr>
              <w:t>2.9.2024</w:t>
            </w:r>
          </w:p>
        </w:tc>
      </w:tr>
    </w:tbl>
    <w:p>
      <w:pPr>
        <w:pStyle w:val="Normal"/>
        <w:rPr>
          <w:b/>
          <w:b/>
          <w:sz w:val="24"/>
        </w:rPr>
      </w:pPr>
      <w:r>
        <w:rPr/>
      </w:r>
    </w:p>
    <w:p>
      <w:pPr>
        <w:pStyle w:val="Normal"/>
        <w:rPr>
          <w:b/>
          <w:b/>
          <w:sz w:val="24"/>
        </w:rPr>
      </w:pPr>
      <w:r>
        <w:rPr/>
      </w:r>
    </w:p>
    <w:p>
      <w:pPr>
        <w:pStyle w:val="Normal"/>
        <w:rPr>
          <w:b/>
          <w:b/>
          <w:sz w:val="24"/>
        </w:rPr>
      </w:pPr>
      <w:r>
        <w:rPr>
          <w:b/>
          <w:sz w:val="24"/>
        </w:rPr>
        <w:t>Obecná ustanovení</w:t>
      </w:r>
    </w:p>
    <w:p>
      <w:pPr>
        <w:pStyle w:val="Zkladntext21"/>
        <w:spacing w:lineRule="atLeast" w:line="240" w:before="120" w:after="0"/>
        <w:rPr>
          <w:b/>
          <w:b/>
        </w:rPr>
      </w:pPr>
      <w:r>
        <w:rPr>
          <w:b/>
        </w:rPr>
        <w:t>Na základě ustanovení § 165, odst. 1., písm. a) zákona č. 561/2004 Sb. o předškolním, základním středním, vyšším odborném a jiném vzdělávání (školský zákon)</w:t>
      </w:r>
      <w:r>
        <w:rPr/>
        <w:t xml:space="preserve"> </w:t>
      </w:r>
      <w:r>
        <w:rPr>
          <w:b/>
        </w:rPr>
        <w:t>v platném znění vydávám jako statutární orgán školy tuto směrnici. Směrnice je součástí organizačního řádu školy</w:t>
      </w:r>
    </w:p>
    <w:p>
      <w:pPr>
        <w:pStyle w:val="Normal"/>
        <w:jc w:val="center"/>
        <w:rPr>
          <w:b/>
          <w:b/>
          <w:sz w:val="28"/>
          <w:szCs w:val="28"/>
        </w:rPr>
      </w:pPr>
      <w:r>
        <w:rPr>
          <w:b/>
          <w:sz w:val="28"/>
          <w:szCs w:val="28"/>
        </w:rPr>
      </w:r>
    </w:p>
    <w:p>
      <w:pPr>
        <w:pStyle w:val="Normal"/>
        <w:jc w:val="both"/>
        <w:rPr>
          <w:sz w:val="24"/>
          <w:szCs w:val="24"/>
        </w:rPr>
      </w:pPr>
      <w:r>
        <w:rPr>
          <w:sz w:val="24"/>
          <w:szCs w:val="24"/>
        </w:rPr>
        <w:t>(1) Tato směrnice</w:t>
      </w:r>
    </w:p>
    <w:p>
      <w:pPr>
        <w:pStyle w:val="Tlotextu"/>
        <w:widowControl w:val="false"/>
        <w:numPr>
          <w:ilvl w:val="0"/>
          <w:numId w:val="2"/>
        </w:numPr>
        <w:jc w:val="both"/>
        <w:rPr>
          <w:color w:val="000000"/>
          <w:szCs w:val="24"/>
        </w:rPr>
      </w:pPr>
      <w:r>
        <w:rPr>
          <w:bCs/>
          <w:color w:val="000000"/>
          <w:szCs w:val="24"/>
        </w:rPr>
        <w:t>vymezuje aktuální terminologii, která je v souladu s terminologií v zemích EU a začlenění prevence do školního vzdělávacího programu a školního řádu,</w:t>
      </w:r>
    </w:p>
    <w:p>
      <w:pPr>
        <w:pStyle w:val="Tlotextu"/>
        <w:widowControl w:val="false"/>
        <w:numPr>
          <w:ilvl w:val="0"/>
          <w:numId w:val="2"/>
        </w:numPr>
        <w:jc w:val="both"/>
        <w:rPr>
          <w:color w:val="000000"/>
          <w:szCs w:val="24"/>
        </w:rPr>
      </w:pPr>
      <w:r>
        <w:rPr>
          <w:bCs/>
          <w:color w:val="000000"/>
          <w:szCs w:val="24"/>
        </w:rPr>
        <w:t>popisuje jednotlivé instituce v systému prevence a úlohu pedagogického pracovníka,</w:t>
      </w:r>
    </w:p>
    <w:p>
      <w:pPr>
        <w:pStyle w:val="Tlotextu"/>
        <w:widowControl w:val="false"/>
        <w:numPr>
          <w:ilvl w:val="0"/>
          <w:numId w:val="2"/>
        </w:numPr>
        <w:jc w:val="both"/>
        <w:rPr>
          <w:color w:val="000000"/>
          <w:szCs w:val="24"/>
        </w:rPr>
      </w:pPr>
      <w:r>
        <w:rPr>
          <w:bCs/>
          <w:color w:val="000000"/>
          <w:szCs w:val="24"/>
        </w:rPr>
        <w:t xml:space="preserve">definuje Preventivní program (u subjektů, které žádají o dotaci, Minimální preventivní program – dále jen preventivní program), </w:t>
      </w:r>
    </w:p>
    <w:p>
      <w:pPr>
        <w:pStyle w:val="Tlotextu"/>
        <w:widowControl w:val="false"/>
        <w:numPr>
          <w:ilvl w:val="0"/>
          <w:numId w:val="2"/>
        </w:numPr>
        <w:jc w:val="both"/>
        <w:rPr>
          <w:color w:val="000000"/>
          <w:szCs w:val="24"/>
        </w:rPr>
      </w:pPr>
      <w:r>
        <w:rPr>
          <w:bCs/>
          <w:color w:val="000000"/>
          <w:szCs w:val="24"/>
        </w:rPr>
        <w:t>doporučuje postupy pedagogů</w:t>
      </w:r>
      <w:r>
        <w:rPr/>
        <w:t xml:space="preserve"> </w:t>
      </w:r>
      <w:r>
        <w:rPr>
          <w:bCs/>
          <w:color w:val="000000"/>
          <w:szCs w:val="24"/>
        </w:rPr>
        <w:t>při výskytu vybraných rizikových forem chování dětí a mládeže</w:t>
      </w:r>
    </w:p>
    <w:p>
      <w:pPr>
        <w:pStyle w:val="Normal"/>
        <w:jc w:val="both"/>
        <w:rPr>
          <w:sz w:val="24"/>
          <w:szCs w:val="24"/>
        </w:rPr>
      </w:pPr>
      <w:r>
        <w:rPr>
          <w:sz w:val="24"/>
          <w:szCs w:val="24"/>
        </w:rPr>
        <w:t xml:space="preserve">(2) Primární prevence rizikového chování se na škole zaměřuje prioritně na předcházení rozvoje rizik, které směřují zejména k následujícím rizikovým projevům v chování </w:t>
      </w:r>
      <w:r>
        <w:rPr>
          <w:sz w:val="24"/>
          <w:szCs w:val="24"/>
        </w:rPr>
        <w:t>dětí</w:t>
      </w:r>
      <w:r>
        <w:rPr>
          <w:sz w:val="24"/>
          <w:szCs w:val="24"/>
        </w:rPr>
        <w:t xml:space="preserve">: </w:t>
      </w:r>
    </w:p>
    <w:p>
      <w:pPr>
        <w:pStyle w:val="Normal"/>
        <w:ind w:left="720" w:hanging="0"/>
        <w:jc w:val="both"/>
        <w:rPr>
          <w:sz w:val="24"/>
          <w:szCs w:val="24"/>
        </w:rPr>
      </w:pPr>
      <w:r>
        <w:rPr>
          <w:sz w:val="24"/>
          <w:szCs w:val="24"/>
        </w:rPr>
      </w:r>
    </w:p>
    <w:p>
      <w:pPr>
        <w:pStyle w:val="Normal"/>
        <w:numPr>
          <w:ilvl w:val="0"/>
          <w:numId w:val="7"/>
        </w:numPr>
        <w:ind w:left="720" w:hanging="360"/>
        <w:jc w:val="both"/>
        <w:rPr>
          <w:sz w:val="24"/>
          <w:szCs w:val="24"/>
        </w:rPr>
      </w:pPr>
      <w:r>
        <w:rPr>
          <w:sz w:val="24"/>
          <w:szCs w:val="24"/>
        </w:rPr>
        <w:t>agrese, šikana, kyberšikana a další rizikové formy komunikace prostřednictvím multimedií,, násilí, vandalismus, intolerance, antisemitismus, extremismus, rasismus a xenofobie, homofobie</w:t>
      </w:r>
    </w:p>
    <w:p>
      <w:pPr>
        <w:pStyle w:val="Normal"/>
        <w:numPr>
          <w:ilvl w:val="0"/>
          <w:numId w:val="7"/>
        </w:numPr>
        <w:ind w:left="720" w:hanging="360"/>
        <w:jc w:val="both"/>
        <w:rPr>
          <w:sz w:val="24"/>
          <w:szCs w:val="24"/>
        </w:rPr>
      </w:pPr>
      <w:r>
        <w:rPr>
          <w:sz w:val="24"/>
          <w:szCs w:val="24"/>
        </w:rPr>
        <w:t xml:space="preserve">záškoláctví, </w:t>
      </w:r>
    </w:p>
    <w:p>
      <w:pPr>
        <w:pStyle w:val="Normal"/>
        <w:numPr>
          <w:ilvl w:val="0"/>
          <w:numId w:val="7"/>
        </w:numPr>
        <w:ind w:left="720" w:hanging="360"/>
        <w:jc w:val="both"/>
        <w:rPr>
          <w:sz w:val="24"/>
          <w:szCs w:val="24"/>
        </w:rPr>
      </w:pPr>
      <w:r>
        <w:rPr>
          <w:sz w:val="24"/>
          <w:szCs w:val="24"/>
        </w:rPr>
        <w:t>závislostní chování, užívání všech návykových látek, netolismus, gambling</w:t>
      </w:r>
    </w:p>
    <w:p>
      <w:pPr>
        <w:pStyle w:val="Normal"/>
        <w:numPr>
          <w:ilvl w:val="0"/>
          <w:numId w:val="7"/>
        </w:numPr>
        <w:ind w:left="720" w:hanging="360"/>
        <w:jc w:val="both"/>
        <w:rPr>
          <w:sz w:val="24"/>
          <w:szCs w:val="24"/>
        </w:rPr>
      </w:pPr>
      <w:r>
        <w:rPr>
          <w:sz w:val="24"/>
          <w:szCs w:val="24"/>
        </w:rPr>
        <w:t>rizikové sporty a rizikové chování v dopravě, prevence úrazů,</w:t>
      </w:r>
    </w:p>
    <w:p>
      <w:pPr>
        <w:pStyle w:val="Normal"/>
        <w:numPr>
          <w:ilvl w:val="0"/>
          <w:numId w:val="7"/>
        </w:numPr>
        <w:ind w:left="720" w:hanging="360"/>
        <w:jc w:val="both"/>
        <w:rPr>
          <w:sz w:val="24"/>
          <w:szCs w:val="24"/>
        </w:rPr>
      </w:pPr>
      <w:r>
        <w:rPr>
          <w:sz w:val="24"/>
          <w:szCs w:val="24"/>
        </w:rPr>
        <w:t>spektrum poruch příjmu potravy,</w:t>
      </w:r>
    </w:p>
    <w:p>
      <w:pPr>
        <w:pStyle w:val="Normal"/>
        <w:numPr>
          <w:ilvl w:val="0"/>
          <w:numId w:val="7"/>
        </w:numPr>
        <w:ind w:left="720" w:hanging="360"/>
        <w:jc w:val="both"/>
        <w:rPr>
          <w:sz w:val="24"/>
          <w:szCs w:val="24"/>
        </w:rPr>
      </w:pPr>
      <w:r>
        <w:rPr>
          <w:sz w:val="24"/>
          <w:szCs w:val="24"/>
        </w:rPr>
        <w:t>negativní působení sekt,</w:t>
      </w:r>
    </w:p>
    <w:p>
      <w:pPr>
        <w:pStyle w:val="Normal"/>
        <w:numPr>
          <w:ilvl w:val="0"/>
          <w:numId w:val="7"/>
        </w:numPr>
        <w:ind w:left="720" w:hanging="360"/>
        <w:jc w:val="both"/>
        <w:rPr>
          <w:sz w:val="24"/>
          <w:szCs w:val="24"/>
        </w:rPr>
      </w:pPr>
      <w:r>
        <w:rPr>
          <w:sz w:val="24"/>
          <w:szCs w:val="24"/>
        </w:rPr>
        <w:t>sexuální rizikové chování,</w:t>
      </w:r>
    </w:p>
    <w:p>
      <w:pPr>
        <w:pStyle w:val="Normal"/>
        <w:numPr>
          <w:ilvl w:val="0"/>
          <w:numId w:val="7"/>
        </w:numPr>
        <w:ind w:left="720" w:hanging="360"/>
        <w:jc w:val="both"/>
        <w:rPr>
          <w:sz w:val="24"/>
          <w:szCs w:val="24"/>
        </w:rPr>
      </w:pPr>
      <w:r>
        <w:rPr>
          <w:sz w:val="24"/>
          <w:szCs w:val="24"/>
        </w:rPr>
        <w:t xml:space="preserve">projevy syndromu týraného dítěte, </w:t>
      </w:r>
    </w:p>
    <w:p>
      <w:pPr>
        <w:pStyle w:val="Normal"/>
        <w:numPr>
          <w:ilvl w:val="0"/>
          <w:numId w:val="7"/>
        </w:numPr>
        <w:ind w:left="720" w:hanging="360"/>
        <w:jc w:val="both"/>
        <w:rPr>
          <w:sz w:val="24"/>
          <w:szCs w:val="24"/>
        </w:rPr>
      </w:pPr>
      <w:r>
        <w:rPr>
          <w:sz w:val="24"/>
          <w:szCs w:val="24"/>
        </w:rPr>
        <w:t>krádeže,</w:t>
      </w:r>
    </w:p>
    <w:p>
      <w:pPr>
        <w:pStyle w:val="Normal"/>
        <w:numPr>
          <w:ilvl w:val="0"/>
          <w:numId w:val="7"/>
        </w:numPr>
        <w:ind w:left="720" w:hanging="360"/>
        <w:jc w:val="both"/>
        <w:rPr>
          <w:sz w:val="24"/>
          <w:szCs w:val="24"/>
        </w:rPr>
      </w:pPr>
      <w:r>
        <w:rPr>
          <w:sz w:val="24"/>
          <w:szCs w:val="24"/>
        </w:rPr>
        <w:t>sebepoškozování,</w:t>
      </w:r>
    </w:p>
    <w:p>
      <w:pPr>
        <w:pStyle w:val="Normal"/>
        <w:numPr>
          <w:ilvl w:val="0"/>
          <w:numId w:val="7"/>
        </w:numPr>
        <w:ind w:left="720" w:hanging="360"/>
        <w:jc w:val="both"/>
        <w:rPr>
          <w:sz w:val="24"/>
          <w:szCs w:val="24"/>
        </w:rPr>
      </w:pPr>
      <w:r>
        <w:rPr>
          <w:sz w:val="24"/>
          <w:szCs w:val="24"/>
        </w:rPr>
        <w:t>negativní projevy závislosti na subkulturách,</w:t>
      </w:r>
    </w:p>
    <w:p>
      <w:pPr>
        <w:pStyle w:val="Normal"/>
        <w:numPr>
          <w:ilvl w:val="0"/>
          <w:numId w:val="7"/>
        </w:numPr>
        <w:ind w:left="720" w:hanging="360"/>
        <w:jc w:val="both"/>
        <w:rPr>
          <w:sz w:val="24"/>
          <w:szCs w:val="24"/>
        </w:rPr>
      </w:pPr>
      <w:r>
        <w:rPr>
          <w:sz w:val="24"/>
          <w:szCs w:val="24"/>
        </w:rPr>
        <w:t>domácí násilí,</w:t>
      </w:r>
    </w:p>
    <w:p>
      <w:pPr>
        <w:pStyle w:val="Normal"/>
        <w:numPr>
          <w:ilvl w:val="0"/>
          <w:numId w:val="7"/>
        </w:numPr>
        <w:ind w:left="720" w:hanging="360"/>
        <w:jc w:val="both"/>
        <w:rPr>
          <w:sz w:val="24"/>
          <w:szCs w:val="24"/>
        </w:rPr>
      </w:pPr>
      <w:r>
        <w:rPr>
          <w:sz w:val="24"/>
          <w:szCs w:val="24"/>
        </w:rPr>
        <w:t>hazardní hraní,</w:t>
      </w:r>
    </w:p>
    <w:p>
      <w:pPr>
        <w:pStyle w:val="Normal"/>
        <w:numPr>
          <w:ilvl w:val="0"/>
          <w:numId w:val="7"/>
        </w:numPr>
        <w:ind w:left="720" w:hanging="360"/>
        <w:jc w:val="both"/>
        <w:rPr>
          <w:sz w:val="24"/>
          <w:szCs w:val="24"/>
        </w:rPr>
      </w:pPr>
      <w:r>
        <w:rPr>
          <w:bCs/>
          <w:sz w:val="24"/>
          <w:szCs w:val="24"/>
        </w:rPr>
        <w:t>problémové situace týkajících se žáků s PAS (poruchy autistického spektra).</w:t>
      </w:r>
    </w:p>
    <w:p>
      <w:pPr>
        <w:pStyle w:val="Normal"/>
        <w:jc w:val="both"/>
        <w:rPr>
          <w:sz w:val="24"/>
          <w:szCs w:val="24"/>
        </w:rPr>
      </w:pPr>
      <w:r>
        <w:rPr>
          <w:sz w:val="24"/>
          <w:szCs w:val="24"/>
        </w:rPr>
      </w:r>
    </w:p>
    <w:p>
      <w:pPr>
        <w:pStyle w:val="Normal"/>
        <w:jc w:val="both"/>
        <w:rPr>
          <w:sz w:val="24"/>
          <w:szCs w:val="24"/>
        </w:rPr>
      </w:pPr>
      <w:r>
        <w:rPr>
          <w:sz w:val="24"/>
          <w:szCs w:val="24"/>
        </w:rPr>
        <w:t xml:space="preserve">(3) </w:t>
      </w:r>
      <w:r>
        <w:rPr>
          <w:color w:val="000000"/>
          <w:sz w:val="24"/>
          <w:szCs w:val="24"/>
        </w:rPr>
        <w:t>Aktivity škol</w:t>
      </w:r>
      <w:r>
        <w:rPr>
          <w:color w:val="000000"/>
          <w:sz w:val="24"/>
          <w:szCs w:val="24"/>
        </w:rPr>
        <w:t>y</w:t>
      </w:r>
      <w:r>
        <w:rPr>
          <w:color w:val="000000"/>
          <w:sz w:val="24"/>
          <w:szCs w:val="24"/>
        </w:rPr>
        <w:t xml:space="preserve"> jsou cíleně směrovány k prokazatelně efektivní specifické primární prevenci a eliminaci aktivit z oblasti neefektivní primární prevence.</w:t>
      </w:r>
      <w:r>
        <w:rPr>
          <w:sz w:val="24"/>
          <w:szCs w:val="24"/>
        </w:rPr>
        <w:t xml:space="preserve"> K rozpoznání a zajištění pomoci včasné intervence nebo krizové intervence zejména v případech:</w:t>
      </w:r>
    </w:p>
    <w:p>
      <w:pPr>
        <w:pStyle w:val="Normal"/>
        <w:jc w:val="both"/>
        <w:rPr>
          <w:sz w:val="24"/>
          <w:szCs w:val="24"/>
        </w:rPr>
      </w:pPr>
      <w:r>
        <w:rPr>
          <w:sz w:val="24"/>
          <w:szCs w:val="24"/>
        </w:rPr>
        <w:t>traumatických zážitků- domácího násilí, šikanování, násilného chování, týrání a zneužívání dětí, včetně komerčního sexuálního zneužívání, ohrožování výchovy dítěte, experimentování s návykovými látkami (legální a nelegální návykové látky), rizikových stravovacích návyků vedoucích k poruchám příjmu potravy (mentální bulimie, mentální anorexie).</w:t>
      </w:r>
    </w:p>
    <w:p>
      <w:pPr>
        <w:pStyle w:val="Normal"/>
        <w:jc w:val="both"/>
        <w:rPr>
          <w:b/>
          <w:b/>
          <w:color w:val="800080"/>
          <w:sz w:val="24"/>
          <w:szCs w:val="24"/>
          <w:u w:val="single"/>
        </w:rPr>
      </w:pPr>
      <w:r>
        <w:rPr>
          <w:b/>
          <w:color w:val="800080"/>
          <w:sz w:val="24"/>
          <w:szCs w:val="24"/>
          <w:u w:val="single"/>
        </w:rPr>
      </w:r>
    </w:p>
    <w:p>
      <w:pPr>
        <w:pStyle w:val="Normal"/>
        <w:rPr>
          <w:color w:val="000000"/>
          <w:sz w:val="24"/>
          <w:szCs w:val="24"/>
        </w:rPr>
      </w:pPr>
      <w:r>
        <w:rPr>
          <w:sz w:val="24"/>
          <w:szCs w:val="24"/>
        </w:rPr>
        <w:t xml:space="preserve">(4) </w:t>
      </w:r>
      <w:r>
        <w:rPr>
          <w:color w:val="000000"/>
          <w:sz w:val="24"/>
          <w:szCs w:val="24"/>
        </w:rPr>
        <w:t>S</w:t>
      </w:r>
      <w:r>
        <w:rPr>
          <w:sz w:val="24"/>
          <w:szCs w:val="24"/>
        </w:rPr>
        <w:t xml:space="preserve">oučástí směrnice jsou přílohy materiálu MŠMT </w:t>
      </w:r>
      <w:r>
        <w:rPr>
          <w:b/>
          <w:i/>
          <w:sz w:val="24"/>
          <w:szCs w:val="24"/>
        </w:rPr>
        <w:t xml:space="preserve">„Metodické doporučení  k primární prevenci rizikového chování u dětí, </w:t>
      </w:r>
      <w:r>
        <w:rPr>
          <w:b/>
          <w:i/>
          <w:color w:val="000000"/>
          <w:sz w:val="24"/>
          <w:szCs w:val="24"/>
        </w:rPr>
        <w:t>žáků a studentů</w:t>
      </w:r>
      <w:r>
        <w:rPr>
          <w:b/>
          <w:i/>
          <w:sz w:val="24"/>
          <w:szCs w:val="24"/>
        </w:rPr>
        <w:t xml:space="preserve"> ve školách a školských zařízeních č.j. 21291/2010-28“,</w:t>
      </w:r>
      <w:r>
        <w:rPr>
          <w:sz w:val="24"/>
          <w:szCs w:val="24"/>
        </w:rPr>
        <w:t xml:space="preserve"> které obsahují praktická doporučení pedagogům škol a školním metodikům prevence, jak se zachovat při výskytu určitého rizikového chování ve školách.</w:t>
      </w:r>
    </w:p>
    <w:p>
      <w:pPr>
        <w:pStyle w:val="Normal"/>
        <w:ind w:firstLine="426"/>
        <w:jc w:val="both"/>
        <w:rPr>
          <w:b/>
          <w:b/>
          <w:color w:val="800080"/>
          <w:sz w:val="24"/>
          <w:szCs w:val="24"/>
          <w:u w:val="single"/>
        </w:rPr>
      </w:pPr>
      <w:r>
        <w:rPr>
          <w:b/>
          <w:color w:val="800080"/>
          <w:sz w:val="24"/>
          <w:szCs w:val="24"/>
          <w:u w:val="single"/>
        </w:rPr>
      </w:r>
    </w:p>
    <w:p>
      <w:pPr>
        <w:pStyle w:val="Normal"/>
        <w:jc w:val="center"/>
        <w:rPr>
          <w:sz w:val="24"/>
          <w:szCs w:val="24"/>
        </w:rPr>
      </w:pPr>
      <w:r>
        <w:rPr>
          <w:sz w:val="24"/>
          <w:szCs w:val="24"/>
        </w:rPr>
        <w:t>Článek 2</w:t>
      </w:r>
    </w:p>
    <w:p>
      <w:pPr>
        <w:pStyle w:val="Normal"/>
        <w:jc w:val="center"/>
        <w:rPr>
          <w:b/>
          <w:b/>
          <w:sz w:val="24"/>
          <w:szCs w:val="24"/>
        </w:rPr>
      </w:pPr>
      <w:r>
        <w:rPr>
          <w:b/>
          <w:sz w:val="24"/>
          <w:szCs w:val="24"/>
        </w:rPr>
        <w:t>Vymezení základních pojmů</w:t>
      </w:r>
    </w:p>
    <w:p>
      <w:pPr>
        <w:pStyle w:val="Normal"/>
        <w:jc w:val="center"/>
        <w:rPr>
          <w:b/>
          <w:b/>
          <w:sz w:val="24"/>
          <w:szCs w:val="24"/>
        </w:rPr>
      </w:pPr>
      <w:r>
        <w:rPr>
          <w:b/>
          <w:sz w:val="24"/>
          <w:szCs w:val="24"/>
        </w:rPr>
      </w:r>
    </w:p>
    <w:p>
      <w:pPr>
        <w:pStyle w:val="Normal"/>
        <w:jc w:val="both"/>
        <w:rPr>
          <w:sz w:val="24"/>
          <w:szCs w:val="24"/>
        </w:rPr>
      </w:pPr>
      <w:r>
        <w:rPr>
          <w:sz w:val="24"/>
          <w:szCs w:val="24"/>
        </w:rPr>
        <w:t xml:space="preserve">(1) Základním principem primární prevence rizikového chování u </w:t>
      </w:r>
      <w:r>
        <w:rPr>
          <w:sz w:val="24"/>
          <w:szCs w:val="24"/>
        </w:rPr>
        <w:t>dětí</w:t>
      </w:r>
      <w:r>
        <w:rPr>
          <w:sz w:val="24"/>
          <w:szCs w:val="24"/>
        </w:rPr>
        <w:t xml:space="preserve"> je výchova k předcházení a minimalizaci rizikových projevů chování, ke zdravému životnímu stylu, k rozvoji pozitivního sociálního chování a rozvoji psychosociálních dovedností a zvládání zátěžových situací osobnosti. Jedná se o oblast zabývající se prevencí v oblastech uvedených v Čl. 1 odst. 2 s cílem zabránit výskytu rizikového chování v daných oblastech, nebo co nejvíce omezit škody působené jejich výskytem mezi </w:t>
      </w:r>
      <w:r>
        <w:rPr>
          <w:sz w:val="24"/>
          <w:szCs w:val="24"/>
        </w:rPr>
        <w:t>dětmi</w:t>
      </w:r>
      <w:r>
        <w:rPr>
          <w:sz w:val="24"/>
          <w:szCs w:val="24"/>
        </w:rPr>
        <w:t>.</w:t>
      </w:r>
    </w:p>
    <w:p>
      <w:pPr>
        <w:pStyle w:val="Normal"/>
        <w:jc w:val="both"/>
        <w:rPr>
          <w:sz w:val="24"/>
          <w:szCs w:val="24"/>
        </w:rPr>
      </w:pPr>
      <w:r>
        <w:rPr>
          <w:sz w:val="24"/>
          <w:szCs w:val="24"/>
        </w:rPr>
        <w:t xml:space="preserve"> </w:t>
      </w:r>
    </w:p>
    <w:p>
      <w:pPr>
        <w:pStyle w:val="Normal"/>
        <w:jc w:val="both"/>
        <w:rPr>
          <w:sz w:val="24"/>
          <w:szCs w:val="24"/>
        </w:rPr>
      </w:pPr>
      <w:r>
        <w:rPr>
          <w:sz w:val="24"/>
          <w:szCs w:val="24"/>
        </w:rPr>
        <w:t xml:space="preserve">(2) Specifická primární prevence – aktivity a programy, které jsou zaměřeny specificky na předcházení a omezování výskytu jednotlivých forem rizikového chování </w:t>
      </w:r>
      <w:r>
        <w:rPr>
          <w:sz w:val="24"/>
          <w:szCs w:val="24"/>
        </w:rPr>
        <w:t>dětí</w:t>
      </w:r>
      <w:r>
        <w:rPr>
          <w:sz w:val="24"/>
          <w:szCs w:val="24"/>
        </w:rPr>
        <w:t>. Jedná se o:</w:t>
      </w:r>
    </w:p>
    <w:p>
      <w:pPr>
        <w:pStyle w:val="Normal"/>
        <w:ind w:left="720" w:hanging="360"/>
        <w:jc w:val="both"/>
        <w:rPr>
          <w:sz w:val="24"/>
          <w:szCs w:val="24"/>
        </w:rPr>
      </w:pPr>
      <w:r>
        <w:rPr>
          <w:sz w:val="24"/>
          <w:szCs w:val="24"/>
        </w:rPr>
        <w:t xml:space="preserve">a) všeobecnou prevenci, která je zaměřena na širší populaci, aniž by byl dříve zjišťován rozsah problému nebo rizika, </w:t>
      </w:r>
    </w:p>
    <w:p>
      <w:pPr>
        <w:pStyle w:val="Normal"/>
        <w:ind w:left="720" w:hanging="360"/>
        <w:jc w:val="both"/>
        <w:rPr>
          <w:sz w:val="24"/>
          <w:szCs w:val="24"/>
        </w:rPr>
      </w:pPr>
      <w:r>
        <w:rPr>
          <w:sz w:val="24"/>
          <w:szCs w:val="24"/>
        </w:rPr>
        <w:t xml:space="preserve">b) selektivní prevenci, která je zaměřena na </w:t>
      </w:r>
      <w:r>
        <w:rPr>
          <w:sz w:val="24"/>
          <w:szCs w:val="24"/>
        </w:rPr>
        <w:t>děti</w:t>
      </w:r>
      <w:r>
        <w:rPr>
          <w:sz w:val="24"/>
          <w:szCs w:val="24"/>
        </w:rPr>
        <w:t xml:space="preserve">, u nichž lze předpokládat zvýšený výskyt rizikového chování, </w:t>
      </w:r>
    </w:p>
    <w:p>
      <w:pPr>
        <w:pStyle w:val="Normal"/>
        <w:ind w:left="720" w:hanging="360"/>
        <w:jc w:val="both"/>
        <w:rPr>
          <w:sz w:val="24"/>
          <w:szCs w:val="24"/>
        </w:rPr>
      </w:pPr>
      <w:r>
        <w:rPr>
          <w:sz w:val="24"/>
          <w:szCs w:val="24"/>
        </w:rPr>
        <w:t xml:space="preserve">c) indikovanou prevenci, která je zaměřena na jednotlivce a skupiny, u nichž byl zaznamenán vyšší výskyt rizikových faktorů v oblasti chování, problematických vztahů v rodině, ve škole nebo s vrstevníky. </w:t>
      </w:r>
    </w:p>
    <w:p>
      <w:pPr>
        <w:pStyle w:val="Normal"/>
        <w:ind w:left="720" w:hanging="360"/>
        <w:jc w:val="both"/>
        <w:rPr>
          <w:sz w:val="24"/>
          <w:szCs w:val="24"/>
        </w:rPr>
      </w:pPr>
      <w:r>
        <w:rPr>
          <w:sz w:val="24"/>
          <w:szCs w:val="24"/>
        </w:rPr>
      </w:r>
    </w:p>
    <w:p>
      <w:pPr>
        <w:pStyle w:val="Normal"/>
        <w:jc w:val="both"/>
        <w:rPr>
          <w:sz w:val="24"/>
          <w:szCs w:val="24"/>
        </w:rPr>
      </w:pPr>
      <w:r>
        <w:rPr>
          <w:sz w:val="24"/>
          <w:szCs w:val="24"/>
        </w:rPr>
        <w:t>(3) Nespecifická primární prevence – veškeré aktivity podporující zdravý životní styl a osvojování pozitivního sociálního chování prostřednictvím smysluplného využívání a organizace volného času, například zájmové, sportovní a volnočasové aktivity a jiné programy, které vedou k dodržování určitých společenských pravidel, zdravého rozvoje osobnosti, k odpovědnosti za sebe a své jednání. Tento typ prevence je významný v kontextu aplikace různých efektivních a vyhodnotitelných specifických programů.</w:t>
      </w:r>
    </w:p>
    <w:p>
      <w:pPr>
        <w:pStyle w:val="Normal"/>
        <w:jc w:val="both"/>
        <w:rPr>
          <w:sz w:val="24"/>
          <w:szCs w:val="24"/>
        </w:rPr>
      </w:pPr>
      <w:r>
        <w:rPr>
          <w:sz w:val="24"/>
          <w:szCs w:val="24"/>
        </w:rPr>
      </w:r>
    </w:p>
    <w:p>
      <w:pPr>
        <w:pStyle w:val="Normal"/>
        <w:spacing w:lineRule="auto" w:line="240" w:before="57" w:after="57"/>
        <w:jc w:val="left"/>
        <w:rPr>
          <w:color w:val="000000"/>
          <w:sz w:val="24"/>
          <w:szCs w:val="24"/>
        </w:rPr>
      </w:pPr>
      <w:r>
        <w:rPr>
          <w:sz w:val="24"/>
          <w:szCs w:val="24"/>
        </w:rPr>
        <w:t xml:space="preserve">(4) </w:t>
      </w:r>
      <w:r>
        <w:rPr>
          <w:color w:val="000000"/>
          <w:sz w:val="24"/>
          <w:szCs w:val="24"/>
        </w:rPr>
        <w:t>Efektivní primární prevence</w:t>
      </w:r>
      <w:r>
        <w:rPr>
          <w:sz w:val="24"/>
          <w:szCs w:val="24"/>
        </w:rPr>
        <w:t xml:space="preserve"> – kontinuální a komplexní programy, interaktivní programy v menších skupinách, vytváření dobrého klimatu ve třídě a skupině, především programy pomáhající odolávat </w:t>
      </w:r>
      <w:r>
        <w:rPr>
          <w:sz w:val="24"/>
          <w:szCs w:val="24"/>
        </w:rPr>
        <w:t>dětem</w:t>
      </w:r>
      <w:r>
        <w:rPr>
          <w:sz w:val="24"/>
          <w:szCs w:val="24"/>
        </w:rPr>
        <w:t xml:space="preserve"> sociálnímu tlaku zaměřené na zkvalitnění komunikace, osvojování a rozvoj sociálně emočních dovedností a kompetencí, konstruktivní zvládání konfliktů a zátěžových situací, odmítání legálních a nelegálních návykových látek, zvyšování zdravého sebevědomí a sebehodnocení, posilování odvahy, stanovování realistických cílů, zvládání úzkosti a stresu apod. Principy efektivní a vyhodnotiteln</w:t>
      </w:r>
      <w:r>
        <w:rPr>
          <w:sz w:val="24"/>
          <w:szCs w:val="24"/>
        </w:rPr>
        <w:t>é</w:t>
      </w:r>
    </w:p>
    <w:p>
      <w:pPr>
        <w:pStyle w:val="Normal"/>
        <w:spacing w:lineRule="auto" w:line="240" w:before="57" w:after="57"/>
        <w:jc w:val="left"/>
        <w:rPr>
          <w:color w:val="000000"/>
          <w:sz w:val="24"/>
          <w:szCs w:val="24"/>
        </w:rPr>
      </w:pPr>
      <w:r>
        <w:rPr>
          <w:sz w:val="24"/>
          <w:szCs w:val="24"/>
        </w:rPr>
        <w:t>primární prevence jsou založeny na</w:t>
      </w:r>
      <w:r>
        <w:rPr>
          <w:rFonts w:eastAsia="+mn-ea" w:cs="+mn-cs"/>
          <w:color w:val="3333CC"/>
          <w:sz w:val="64"/>
          <w:szCs w:val="64"/>
        </w:rPr>
        <w:t xml:space="preserve"> </w:t>
      </w:r>
      <w:r>
        <w:rPr>
          <w:color w:val="000000"/>
          <w:sz w:val="24"/>
          <w:szCs w:val="24"/>
        </w:rPr>
        <w:t>soustavnosti a dlouhodobosti,  aktivnosti, přiměřenosti, názornosti, uvědomělosti.</w:t>
      </w:r>
    </w:p>
    <w:p>
      <w:pPr>
        <w:pStyle w:val="Normal"/>
        <w:ind w:firstLine="360"/>
        <w:jc w:val="both"/>
        <w:rPr>
          <w:sz w:val="24"/>
          <w:szCs w:val="24"/>
        </w:rPr>
      </w:pPr>
      <w:r>
        <w:rPr>
          <w:sz w:val="24"/>
          <w:szCs w:val="24"/>
        </w:rPr>
      </w:r>
    </w:p>
    <w:p>
      <w:pPr>
        <w:pStyle w:val="Normal"/>
        <w:jc w:val="both"/>
        <w:rPr>
          <w:strike/>
          <w:sz w:val="24"/>
          <w:szCs w:val="24"/>
        </w:rPr>
      </w:pPr>
      <w:r>
        <w:rPr>
          <w:sz w:val="24"/>
          <w:szCs w:val="24"/>
        </w:rPr>
        <w:t xml:space="preserve">(5) </w:t>
      </w:r>
      <w:r>
        <w:rPr>
          <w:color w:val="000000"/>
          <w:sz w:val="24"/>
          <w:szCs w:val="24"/>
        </w:rPr>
        <w:t>Neúčinná primární prevence</w:t>
      </w:r>
      <w:r>
        <w:rPr>
          <w:sz w:val="24"/>
          <w:szCs w:val="24"/>
        </w:rPr>
        <w:t>:</w:t>
      </w:r>
    </w:p>
    <w:p>
      <w:pPr>
        <w:pStyle w:val="Normal"/>
        <w:ind w:left="720" w:hanging="360"/>
        <w:jc w:val="both"/>
        <w:rPr>
          <w:sz w:val="24"/>
          <w:szCs w:val="24"/>
        </w:rPr>
      </w:pPr>
      <w:r>
        <w:rPr>
          <w:sz w:val="24"/>
          <w:szCs w:val="24"/>
        </w:rPr>
        <w:t xml:space="preserve">a) </w:t>
        <w:tab/>
        <w:t xml:space="preserve">zastrašování a triviální přístup: „prostě řekni ne“, citové apely, pouhé předávání informací, samostatně realizované jednorázové akce, potlačování diskuse, stigmatizování a znevažování osobních postojů </w:t>
      </w:r>
      <w:r>
        <w:rPr>
          <w:sz w:val="24"/>
          <w:szCs w:val="24"/>
        </w:rPr>
        <w:t>dítěte</w:t>
      </w:r>
      <w:r>
        <w:rPr>
          <w:sz w:val="24"/>
          <w:szCs w:val="24"/>
        </w:rPr>
        <w:t>, přednášky.</w:t>
      </w:r>
    </w:p>
    <w:p>
      <w:pPr>
        <w:pStyle w:val="Normal"/>
        <w:ind w:left="705" w:hanging="345"/>
        <w:jc w:val="both"/>
        <w:rPr>
          <w:sz w:val="24"/>
          <w:szCs w:val="24"/>
        </w:rPr>
      </w:pPr>
      <w:r>
        <w:rPr>
          <w:sz w:val="24"/>
          <w:szCs w:val="24"/>
        </w:rPr>
        <w:t>b)</w:t>
        <w:tab/>
        <w:t>hromadné kulturní či sportovní aktivity nebo návštěva historických a kulturních památek, by měly být pouze doplňkem, na který by měla vždy navazovat diskuse v malých skupinkách.</w:t>
      </w:r>
    </w:p>
    <w:p>
      <w:pPr>
        <w:pStyle w:val="Normal"/>
        <w:ind w:left="705" w:hanging="345"/>
        <w:jc w:val="both"/>
        <w:rPr>
          <w:sz w:val="24"/>
          <w:szCs w:val="24"/>
        </w:rPr>
      </w:pPr>
      <w:r>
        <w:rPr>
          <w:sz w:val="24"/>
          <w:szCs w:val="24"/>
        </w:rPr>
      </w:r>
    </w:p>
    <w:p>
      <w:pPr>
        <w:pStyle w:val="Normal"/>
        <w:ind w:left="705" w:hanging="345"/>
        <w:jc w:val="both"/>
        <w:rPr>
          <w:sz w:val="24"/>
          <w:szCs w:val="24"/>
        </w:rPr>
      </w:pPr>
      <w:r>
        <w:rPr>
          <w:sz w:val="24"/>
          <w:szCs w:val="24"/>
        </w:rPr>
      </w:r>
    </w:p>
    <w:p>
      <w:pPr>
        <w:pStyle w:val="Normal"/>
        <w:jc w:val="both"/>
        <w:rPr>
          <w:sz w:val="24"/>
          <w:szCs w:val="24"/>
        </w:rPr>
      </w:pPr>
      <w:r>
        <w:rPr>
          <w:sz w:val="24"/>
          <w:szCs w:val="24"/>
        </w:rPr>
        <w:t xml:space="preserve"> </w:t>
      </w:r>
      <w:r>
        <w:rPr>
          <w:sz w:val="24"/>
          <w:szCs w:val="24"/>
        </w:rPr>
        <w:t xml:space="preserve">(6) Minimální preventivní program – konkrétní dokument školy zaměřený zejména na výchovu a vzdělávání </w:t>
      </w:r>
      <w:r>
        <w:rPr>
          <w:sz w:val="24"/>
          <w:szCs w:val="24"/>
        </w:rPr>
        <w:t>dětí</w:t>
      </w:r>
      <w:r>
        <w:rPr>
          <w:sz w:val="24"/>
          <w:szCs w:val="24"/>
        </w:rPr>
        <w:t xml:space="preserve"> ke zdravému životnímu stylu, na jejich osobnostní a emočně sociální rozvoj a komunikační dovednosti. Minimální preventivní program je založen na podpoře vlastní aktivity </w:t>
      </w:r>
      <w:r>
        <w:rPr>
          <w:sz w:val="24"/>
          <w:szCs w:val="24"/>
        </w:rPr>
        <w:t>dětí</w:t>
      </w:r>
      <w:r>
        <w:rPr>
          <w:sz w:val="24"/>
          <w:szCs w:val="24"/>
        </w:rPr>
        <w:t>, pestrosti forem preventivní práce s </w:t>
      </w:r>
      <w:r>
        <w:rPr>
          <w:sz w:val="24"/>
          <w:szCs w:val="24"/>
        </w:rPr>
        <w:t>dětmi</w:t>
      </w:r>
      <w:r>
        <w:rPr>
          <w:sz w:val="24"/>
          <w:szCs w:val="24"/>
        </w:rPr>
        <w:t xml:space="preserve">, zapojení celého pedagogického sboru školy a spolupráci se zákonnými zástupci </w:t>
      </w:r>
      <w:r>
        <w:rPr>
          <w:sz w:val="24"/>
          <w:szCs w:val="24"/>
        </w:rPr>
        <w:t>dětí</w:t>
      </w:r>
      <w:r>
        <w:rPr>
          <w:sz w:val="24"/>
          <w:szCs w:val="24"/>
        </w:rPr>
        <w:t xml:space="preserve"> školy. </w:t>
      </w:r>
    </w:p>
    <w:p>
      <w:pPr>
        <w:pStyle w:val="Normal"/>
        <w:ind w:firstLine="360"/>
        <w:jc w:val="both"/>
        <w:rPr>
          <w:sz w:val="24"/>
          <w:szCs w:val="24"/>
        </w:rPr>
      </w:pPr>
      <w:r>
        <w:rPr>
          <w:sz w:val="24"/>
          <w:szCs w:val="24"/>
        </w:rPr>
      </w:r>
    </w:p>
    <w:p>
      <w:pPr>
        <w:pStyle w:val="Normal"/>
        <w:jc w:val="both"/>
        <w:rPr>
          <w:sz w:val="22"/>
          <w:szCs w:val="22"/>
        </w:rPr>
      </w:pPr>
      <w:r>
        <w:rPr>
          <w:sz w:val="22"/>
          <w:szCs w:val="22"/>
        </w:rPr>
      </w:r>
    </w:p>
    <w:p>
      <w:pPr>
        <w:pStyle w:val="Normal"/>
        <w:jc w:val="both"/>
        <w:rPr>
          <w:sz w:val="24"/>
          <w:szCs w:val="24"/>
        </w:rPr>
      </w:pPr>
      <w:r>
        <w:rPr>
          <w:sz w:val="24"/>
          <w:szCs w:val="24"/>
        </w:rPr>
        <w:t>(7) Školní preventivní strategie je dlouhodobým preventivním programem pro školy a školská zařízení. Je součástí školního vzdělávacího programu, který vychází z příslušného rámcového vzdělávacího programu, popř. přílohou dosud platných osnov a učebních plánů. Vychází z omezených časových, personálních a finančních investic se zaměřením na nejvyšší efektivitu, jasně definuje dlouhodobé a krátkodobé cíle, je naplánována tak, aby mohla být řádně uskutečňována. Přizpůsobuje se kulturním, sociálním či politickým okolnostem i struktuře školy či specifické populaci jak v rámci školy, tak v jejím okolí, respektuje rozdíly ve školním prostředí. Má dlouhotrvající výsledky, pojmenovává problémy z oblasti rizikových forem chování. Pomáhá zejména těm jedincům, kteří pocházejí z nejvíce ohrožených skupin (minoritám, cizincům, pacientům či dětem) při zajištění jejich lidských práv a povinností. Podporuje zdravý životní styl, tj. harmonickou rovnováhu tělesných a duševních funkcí s pocitem spokojenosti, chuti do života, tělesného i duševního blaha (výchova ke zdraví, osobní a duševní hygiena, výživa a pohybové aktivity). Poskytuje podněty ke zpracování Minimálního preventivního programu</w:t>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t>(7) Nové metodické doporučení reflektuje aktuální terminologii – rizikové chování. Pojem sociálně patologické jevy je pojmem sociologickým a postihuje fatální jevy ve společnosti (alkoholismus, krádeže, vraždy apod.), k nimž mimo jiné také musí směřovat opatření primární prevence. Nicméně ve školním prostředí pedagogové pracují s rizikovým chováním, vůči němuž zaujímají účinná primárně preventivní opatření s cílem minimalizace projevů i rizik takového chování a případně je diagnostikují a následně přijímají efektivní opatření.</w:t>
      </w:r>
    </w:p>
    <w:p>
      <w:pPr>
        <w:pStyle w:val="Normal"/>
        <w:jc w:val="both"/>
        <w:rPr>
          <w:sz w:val="24"/>
          <w:szCs w:val="24"/>
        </w:rPr>
      </w:pPr>
      <w:r>
        <w:rPr>
          <w:sz w:val="24"/>
          <w:szCs w:val="24"/>
        </w:rPr>
      </w:r>
    </w:p>
    <w:p>
      <w:pPr>
        <w:pStyle w:val="Normal"/>
        <w:jc w:val="both"/>
        <w:rPr>
          <w:sz w:val="24"/>
          <w:szCs w:val="24"/>
        </w:rPr>
      </w:pPr>
      <w:r>
        <w:rPr>
          <w:sz w:val="24"/>
          <w:szCs w:val="24"/>
        </w:rPr>
        <w:t>8) Ochrana údajů.</w:t>
      </w:r>
    </w:p>
    <w:p>
      <w:pPr>
        <w:pStyle w:val="Normal"/>
        <w:rPr>
          <w:sz w:val="24"/>
          <w:szCs w:val="24"/>
        </w:rPr>
      </w:pPr>
      <w:r>
        <w:rPr>
          <w:sz w:val="24"/>
          <w:szCs w:val="24"/>
        </w:rPr>
        <w:t>Škola (a její zaměstnanci) ve smyslu evropského nařízení ke GDPR zachovává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 a chrání před neoprávněným přístupem, neposkytuje je subjektům, které na ně nemají zákonný nárok, nepotřebné údaje vyřazuje a dál nezpracovává.</w:t>
      </w:r>
    </w:p>
    <w:p>
      <w:pPr>
        <w:pStyle w:val="Normal"/>
        <w:jc w:val="both"/>
        <w:rPr>
          <w:sz w:val="24"/>
          <w:szCs w:val="24"/>
        </w:rPr>
      </w:pPr>
      <w:r>
        <w:rPr>
          <w:sz w:val="24"/>
          <w:szCs w:val="24"/>
        </w:rPr>
      </w:r>
    </w:p>
    <w:p>
      <w:pPr>
        <w:pStyle w:val="Normal"/>
        <w:jc w:val="center"/>
        <w:rPr>
          <w:sz w:val="24"/>
          <w:szCs w:val="24"/>
        </w:rPr>
      </w:pPr>
      <w:r>
        <w:rPr>
          <w:sz w:val="24"/>
          <w:szCs w:val="24"/>
        </w:rPr>
        <w:t>Hlava II</w:t>
      </w:r>
    </w:p>
    <w:p>
      <w:pPr>
        <w:pStyle w:val="Normal"/>
        <w:jc w:val="center"/>
        <w:rPr>
          <w:b/>
          <w:b/>
          <w:sz w:val="24"/>
          <w:szCs w:val="24"/>
        </w:rPr>
      </w:pPr>
      <w:r>
        <w:rPr>
          <w:b/>
          <w:color w:val="000000"/>
          <w:sz w:val="24"/>
          <w:szCs w:val="24"/>
        </w:rPr>
        <w:t>Systém primární prevence rizikového chování</w:t>
      </w:r>
    </w:p>
    <w:p>
      <w:pPr>
        <w:pStyle w:val="Normal"/>
        <w:jc w:val="both"/>
        <w:rPr>
          <w:sz w:val="24"/>
          <w:szCs w:val="24"/>
        </w:rPr>
      </w:pPr>
      <w:r>
        <w:rPr>
          <w:sz w:val="24"/>
          <w:szCs w:val="24"/>
        </w:rPr>
      </w:r>
    </w:p>
    <w:p>
      <w:pPr>
        <w:pStyle w:val="Normal"/>
        <w:jc w:val="center"/>
        <w:rPr>
          <w:sz w:val="24"/>
          <w:szCs w:val="24"/>
        </w:rPr>
      </w:pPr>
      <w:r>
        <w:rPr>
          <w:sz w:val="24"/>
          <w:szCs w:val="24"/>
        </w:rPr>
        <w:t>Článek 3</w:t>
      </w:r>
    </w:p>
    <w:p>
      <w:pPr>
        <w:pStyle w:val="Normal"/>
        <w:jc w:val="center"/>
        <w:rPr>
          <w:b/>
          <w:b/>
          <w:sz w:val="24"/>
          <w:szCs w:val="24"/>
        </w:rPr>
      </w:pPr>
      <w:r>
        <w:rPr>
          <w:b/>
          <w:sz w:val="24"/>
          <w:szCs w:val="24"/>
        </w:rPr>
        <w:t xml:space="preserve">Systém organizace a řízení primární prevence rizikového chování u </w:t>
      </w:r>
      <w:r>
        <w:rPr>
          <w:b/>
          <w:color w:val="000000"/>
          <w:sz w:val="24"/>
          <w:szCs w:val="24"/>
        </w:rPr>
        <w:t>žáků</w:t>
      </w:r>
    </w:p>
    <w:p>
      <w:pPr>
        <w:pStyle w:val="Normal"/>
        <w:jc w:val="center"/>
        <w:rPr>
          <w:b/>
          <w:b/>
          <w:sz w:val="24"/>
          <w:szCs w:val="24"/>
        </w:rPr>
      </w:pPr>
      <w:r>
        <w:rPr>
          <w:b/>
          <w:sz w:val="24"/>
          <w:szCs w:val="24"/>
        </w:rPr>
      </w:r>
    </w:p>
    <w:p>
      <w:pPr>
        <w:pStyle w:val="Normal"/>
        <w:rPr>
          <w:b/>
          <w:b/>
          <w:sz w:val="24"/>
          <w:szCs w:val="24"/>
        </w:rPr>
      </w:pPr>
      <w:r>
        <w:rPr>
          <w:sz w:val="24"/>
          <w:szCs w:val="24"/>
        </w:rPr>
        <w:t>(1) Postavení a úkoly MŠMT,  krajských úřadů, Krajských školských koordinátorů prevence,  metodiků prevence v pedagogicko-psychologické poradně jsou dány materiálem MŠMT</w:t>
      </w:r>
      <w:r>
        <w:rPr>
          <w:b/>
          <w:sz w:val="24"/>
          <w:szCs w:val="24"/>
        </w:rPr>
        <w:t xml:space="preserve"> „</w:t>
      </w:r>
      <w:r>
        <w:rPr>
          <w:b/>
          <w:i/>
          <w:sz w:val="24"/>
          <w:szCs w:val="24"/>
        </w:rPr>
        <w:t xml:space="preserve">Metodické doporučení  k primární prevenci rizikového chování u dětí, </w:t>
      </w:r>
      <w:r>
        <w:rPr>
          <w:b/>
          <w:i/>
          <w:color w:val="000000"/>
          <w:sz w:val="24"/>
          <w:szCs w:val="24"/>
        </w:rPr>
        <w:t>žáků a studentů</w:t>
      </w:r>
      <w:r>
        <w:rPr>
          <w:b/>
          <w:i/>
          <w:sz w:val="24"/>
          <w:szCs w:val="24"/>
        </w:rPr>
        <w:t xml:space="preserve"> ve školách a školských zařízeních č.j. 21291/2010-28“.</w:t>
      </w:r>
    </w:p>
    <w:p>
      <w:pPr>
        <w:pStyle w:val="Normal"/>
        <w:rPr>
          <w:b/>
          <w:b/>
          <w:sz w:val="24"/>
          <w:szCs w:val="24"/>
        </w:rPr>
      </w:pPr>
      <w:r>
        <w:rPr>
          <w:b/>
          <w:sz w:val="24"/>
          <w:szCs w:val="24"/>
        </w:rPr>
      </w:r>
    </w:p>
    <w:p>
      <w:pPr>
        <w:pStyle w:val="Normal"/>
        <w:jc w:val="both"/>
        <w:rPr>
          <w:b/>
          <w:b/>
          <w:sz w:val="24"/>
          <w:szCs w:val="24"/>
        </w:rPr>
      </w:pPr>
      <w:r>
        <w:rPr/>
      </w:r>
    </w:p>
    <w:p>
      <w:pPr>
        <w:pStyle w:val="Normal"/>
        <w:jc w:val="both"/>
        <w:rPr>
          <w:b/>
          <w:b/>
          <w:sz w:val="24"/>
          <w:szCs w:val="24"/>
        </w:rPr>
      </w:pPr>
      <w:r>
        <w:rPr/>
      </w:r>
    </w:p>
    <w:p>
      <w:pPr>
        <w:pStyle w:val="Normal"/>
        <w:jc w:val="both"/>
        <w:rPr>
          <w:b/>
          <w:b/>
          <w:sz w:val="24"/>
          <w:szCs w:val="24"/>
        </w:rPr>
      </w:pPr>
      <w:r>
        <w:rPr>
          <w:sz w:val="24"/>
          <w:szCs w:val="24"/>
        </w:rPr>
        <w:t xml:space="preserve">(2) </w:t>
      </w:r>
      <w:r>
        <w:rPr>
          <w:b/>
          <w:sz w:val="24"/>
          <w:szCs w:val="24"/>
        </w:rPr>
        <w:t>Ředitel školy a školského zařízení</w:t>
      </w:r>
    </w:p>
    <w:p>
      <w:pPr>
        <w:pStyle w:val="Normal"/>
        <w:ind w:firstLine="284"/>
        <w:jc w:val="both"/>
        <w:rPr>
          <w:color w:val="000000"/>
          <w:sz w:val="24"/>
          <w:szCs w:val="24"/>
        </w:rPr>
      </w:pPr>
      <w:r>
        <w:rPr>
          <w:sz w:val="24"/>
          <w:szCs w:val="24"/>
        </w:rPr>
        <w:t>Je přímo zodpovědn</w:t>
      </w:r>
      <w:r>
        <w:rPr>
          <w:sz w:val="24"/>
          <w:szCs w:val="24"/>
        </w:rPr>
        <w:t>á</w:t>
      </w:r>
      <w:r>
        <w:rPr>
          <w:sz w:val="24"/>
          <w:szCs w:val="24"/>
        </w:rPr>
        <w:t xml:space="preserve"> za prevenci a za řešení zjištěných projevů rizikových forem chování. Vytváří</w:t>
      </w:r>
      <w:r>
        <w:rPr>
          <w:color w:val="000000"/>
          <w:sz w:val="24"/>
          <w:szCs w:val="24"/>
        </w:rPr>
        <w:t xml:space="preserve"> podmínky pro předcházení rozvoje rizikového chování zejména</w:t>
      </w:r>
    </w:p>
    <w:p>
      <w:pPr>
        <w:pStyle w:val="Normal"/>
        <w:numPr>
          <w:ilvl w:val="0"/>
          <w:numId w:val="4"/>
        </w:numPr>
        <w:tabs>
          <w:tab w:val="clear" w:pos="708"/>
          <w:tab w:val="left" w:pos="284" w:leader="none"/>
        </w:tabs>
        <w:ind w:left="284" w:hanging="284"/>
        <w:jc w:val="both"/>
        <w:rPr>
          <w:color w:val="000000"/>
          <w:sz w:val="24"/>
          <w:szCs w:val="24"/>
        </w:rPr>
      </w:pPr>
      <w:r>
        <w:rPr>
          <w:color w:val="000000"/>
          <w:sz w:val="24"/>
          <w:szCs w:val="24"/>
        </w:rPr>
        <w:t>zabezpečením poskytování poradenských služeb ve škole se zaměřením na primární prevenci rizikového chování,</w:t>
      </w:r>
    </w:p>
    <w:p>
      <w:pPr>
        <w:pStyle w:val="Normal"/>
        <w:numPr>
          <w:ilvl w:val="0"/>
          <w:numId w:val="4"/>
        </w:numPr>
        <w:tabs>
          <w:tab w:val="clear" w:pos="708"/>
          <w:tab w:val="left" w:pos="284" w:leader="none"/>
        </w:tabs>
        <w:ind w:left="284" w:hanging="284"/>
        <w:jc w:val="both"/>
        <w:rPr>
          <w:sz w:val="24"/>
          <w:szCs w:val="24"/>
        </w:rPr>
      </w:pPr>
      <w:r>
        <w:rPr>
          <w:color w:val="000000"/>
          <w:sz w:val="24"/>
          <w:szCs w:val="24"/>
        </w:rPr>
        <w:t xml:space="preserve">zapracováním do školního řádu </w:t>
      </w:r>
    </w:p>
    <w:p>
      <w:pPr>
        <w:pStyle w:val="Normal"/>
        <w:numPr>
          <w:ilvl w:val="0"/>
          <w:numId w:val="4"/>
        </w:numPr>
        <w:tabs>
          <w:tab w:val="clear" w:pos="708"/>
          <w:tab w:val="left" w:pos="284" w:leader="none"/>
        </w:tabs>
        <w:ind w:left="284" w:hanging="284"/>
        <w:jc w:val="both"/>
        <w:rPr>
          <w:color w:val="000000"/>
          <w:sz w:val="24"/>
          <w:szCs w:val="24"/>
        </w:rPr>
      </w:pPr>
      <w:r>
        <w:rPr>
          <w:color w:val="000000"/>
          <w:sz w:val="24"/>
          <w:szCs w:val="24"/>
        </w:rPr>
        <w:t xml:space="preserve">podporou aktivit příslušného obecního úřadu zaměřených na rozvoj zdravého životního stylu </w:t>
      </w:r>
    </w:p>
    <w:p>
      <w:pPr>
        <w:pStyle w:val="Normal"/>
        <w:ind w:left="284" w:hanging="0"/>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t>(</w:t>
      </w:r>
      <w:r>
        <w:rPr>
          <w:color w:val="000000"/>
          <w:sz w:val="24"/>
          <w:szCs w:val="24"/>
        </w:rPr>
        <w:t>3)</w:t>
      </w:r>
      <w:r>
        <w:rPr>
          <w:color w:val="000000"/>
          <w:sz w:val="24"/>
          <w:szCs w:val="24"/>
        </w:rPr>
        <w:t xml:space="preserve"> </w:t>
      </w:r>
      <w:r>
        <w:rPr>
          <w:color w:val="000000"/>
          <w:sz w:val="24"/>
          <w:szCs w:val="24"/>
        </w:rPr>
        <w:t>U</w:t>
      </w:r>
      <w:r>
        <w:rPr>
          <w:b/>
          <w:color w:val="000000"/>
          <w:sz w:val="24"/>
          <w:szCs w:val="24"/>
        </w:rPr>
        <w:t xml:space="preserve">čitel </w:t>
      </w:r>
      <w:r>
        <w:rPr>
          <w:color w:val="000000"/>
          <w:sz w:val="24"/>
          <w:szCs w:val="24"/>
        </w:rPr>
        <w:t>(ve vztahu k primární prevenci):</w:t>
      </w:r>
    </w:p>
    <w:p>
      <w:pPr>
        <w:pStyle w:val="Normal"/>
        <w:numPr>
          <w:ilvl w:val="0"/>
          <w:numId w:val="5"/>
        </w:numPr>
        <w:tabs>
          <w:tab w:val="clear" w:pos="708"/>
          <w:tab w:val="left" w:pos="284" w:leader="none"/>
        </w:tabs>
        <w:ind w:left="284" w:hanging="284"/>
        <w:jc w:val="both"/>
        <w:rPr>
          <w:color w:val="000000"/>
          <w:sz w:val="24"/>
          <w:szCs w:val="24"/>
        </w:rPr>
      </w:pPr>
      <w:r>
        <w:rPr>
          <w:color w:val="000000"/>
          <w:sz w:val="24"/>
          <w:szCs w:val="24"/>
        </w:rPr>
        <w:t xml:space="preserve">podílí se na realizaci </w:t>
      </w:r>
      <w:r>
        <w:rPr>
          <w:b/>
          <w:i/>
          <w:color w:val="000000"/>
          <w:sz w:val="24"/>
          <w:szCs w:val="24"/>
        </w:rPr>
        <w:t>Preventivního programu</w:t>
      </w:r>
      <w:r>
        <w:rPr>
          <w:color w:val="000000"/>
          <w:sz w:val="24"/>
          <w:szCs w:val="24"/>
        </w:rPr>
        <w:t xml:space="preserve"> a na pedagogické diagnostice vztahů ve třídě,</w:t>
      </w:r>
    </w:p>
    <w:p>
      <w:pPr>
        <w:pStyle w:val="Normal"/>
        <w:numPr>
          <w:ilvl w:val="0"/>
          <w:numId w:val="5"/>
        </w:numPr>
        <w:tabs>
          <w:tab w:val="clear" w:pos="708"/>
          <w:tab w:val="left" w:pos="284" w:leader="none"/>
        </w:tabs>
        <w:ind w:left="284" w:hanging="284"/>
        <w:jc w:val="both"/>
        <w:rPr>
          <w:sz w:val="24"/>
          <w:szCs w:val="24"/>
        </w:rPr>
      </w:pPr>
      <w:r>
        <w:rPr>
          <w:color w:val="000000"/>
          <w:sz w:val="24"/>
          <w:szCs w:val="24"/>
        </w:rPr>
        <w:t>motivuje k vytvoření vnitřních pravidel třídy, která jsou v souladu se školním řádem, a dbá n</w:t>
      </w:r>
      <w:r>
        <w:rPr>
          <w:sz w:val="24"/>
          <w:szCs w:val="24"/>
        </w:rPr>
        <w:t xml:space="preserve">a jejich </w:t>
      </w:r>
      <w:r>
        <w:rPr>
          <w:color w:val="000000"/>
          <w:sz w:val="24"/>
          <w:szCs w:val="24"/>
        </w:rPr>
        <w:t xml:space="preserve">důsledné </w:t>
      </w:r>
      <w:r>
        <w:rPr>
          <w:sz w:val="24"/>
          <w:szCs w:val="24"/>
        </w:rPr>
        <w:t xml:space="preserve">dodržování (vytváření otevřené bezpečné atmosféry a pozitivního sociálního klimatu ve třídě); podporuje rozvoj pozitivních sociálních interakcí mezi </w:t>
      </w:r>
      <w:r>
        <w:rPr>
          <w:sz w:val="24"/>
          <w:szCs w:val="24"/>
        </w:rPr>
        <w:t>dětmi</w:t>
      </w:r>
      <w:r>
        <w:rPr>
          <w:sz w:val="24"/>
          <w:szCs w:val="24"/>
        </w:rPr>
        <w:t xml:space="preserve"> třídy,</w:t>
      </w:r>
    </w:p>
    <w:p>
      <w:pPr>
        <w:pStyle w:val="Normal"/>
        <w:numPr>
          <w:ilvl w:val="0"/>
          <w:numId w:val="5"/>
        </w:numPr>
        <w:tabs>
          <w:tab w:val="clear" w:pos="708"/>
          <w:tab w:val="left" w:pos="284" w:leader="none"/>
        </w:tabs>
        <w:ind w:left="284" w:hanging="284"/>
        <w:jc w:val="both"/>
        <w:rPr>
          <w:sz w:val="24"/>
          <w:szCs w:val="24"/>
        </w:rPr>
      </w:pPr>
      <w:r>
        <w:rPr>
          <w:sz w:val="24"/>
          <w:szCs w:val="24"/>
        </w:rPr>
        <w:t xml:space="preserve">zprostředkovává komunikaci s ostatními členy pedagogického sboru a je garantem spolupráce školy </w:t>
      </w:r>
      <w:r>
        <w:rPr>
          <w:color w:val="000000"/>
          <w:sz w:val="24"/>
          <w:szCs w:val="24"/>
        </w:rPr>
        <w:t xml:space="preserve">se zákonnými zástupci nezletilých </w:t>
      </w:r>
      <w:r>
        <w:rPr>
          <w:sz w:val="24"/>
          <w:szCs w:val="24"/>
        </w:rPr>
        <w:t>žáků třídy,</w:t>
      </w:r>
    </w:p>
    <w:p>
      <w:pPr>
        <w:pStyle w:val="Normal"/>
        <w:numPr>
          <w:ilvl w:val="0"/>
          <w:numId w:val="5"/>
        </w:numPr>
        <w:tabs>
          <w:tab w:val="clear" w:pos="708"/>
          <w:tab w:val="left" w:pos="284" w:leader="none"/>
        </w:tabs>
        <w:ind w:left="284" w:hanging="284"/>
        <w:jc w:val="both"/>
        <w:rPr>
          <w:sz w:val="24"/>
          <w:szCs w:val="24"/>
        </w:rPr>
      </w:pPr>
      <w:r>
        <w:rPr>
          <w:sz w:val="24"/>
          <w:szCs w:val="24"/>
        </w:rPr>
        <w:t xml:space="preserve">získává a udržuje si přehled o osobnostních zvláštnostech </w:t>
      </w:r>
      <w:r>
        <w:rPr>
          <w:sz w:val="24"/>
          <w:szCs w:val="24"/>
        </w:rPr>
        <w:t>dětí</w:t>
      </w:r>
      <w:r>
        <w:rPr>
          <w:sz w:val="24"/>
          <w:szCs w:val="24"/>
        </w:rPr>
        <w:t xml:space="preserve"> třídy a o jejich rodinném zázemí.</w:t>
      </w:r>
    </w:p>
    <w:p>
      <w:pPr>
        <w:pStyle w:val="Normal"/>
        <w:jc w:val="center"/>
        <w:rPr>
          <w:sz w:val="24"/>
          <w:szCs w:val="24"/>
        </w:rPr>
      </w:pPr>
      <w:r>
        <w:rPr>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sz w:val="24"/>
          <w:szCs w:val="24"/>
        </w:rPr>
      </w:pPr>
      <w:r>
        <w:rPr>
          <w:sz w:val="24"/>
          <w:szCs w:val="24"/>
        </w:rPr>
        <w:t>Článek 4</w:t>
      </w:r>
    </w:p>
    <w:p>
      <w:pPr>
        <w:pStyle w:val="Normal"/>
        <w:jc w:val="center"/>
        <w:rPr>
          <w:b/>
          <w:b/>
          <w:sz w:val="24"/>
          <w:szCs w:val="24"/>
        </w:rPr>
      </w:pPr>
      <w:r>
        <w:rPr>
          <w:b/>
          <w:sz w:val="24"/>
          <w:szCs w:val="24"/>
        </w:rPr>
        <w:t>Začlenění primární prevence rizikového chování u</w:t>
      </w:r>
      <w:r>
        <w:rPr>
          <w:b/>
          <w:color w:val="000000"/>
          <w:sz w:val="24"/>
          <w:szCs w:val="24"/>
        </w:rPr>
        <w:t xml:space="preserve"> </w:t>
      </w:r>
      <w:r>
        <w:rPr>
          <w:b/>
          <w:color w:val="000000"/>
          <w:sz w:val="24"/>
          <w:szCs w:val="24"/>
        </w:rPr>
        <w:t xml:space="preserve">dětí </w:t>
      </w:r>
      <w:r>
        <w:rPr>
          <w:b/>
          <w:sz w:val="24"/>
          <w:szCs w:val="24"/>
        </w:rPr>
        <w:t>do školních vzdělávacích programů</w:t>
      </w:r>
    </w:p>
    <w:p>
      <w:pPr>
        <w:pStyle w:val="Normal"/>
        <w:jc w:val="center"/>
        <w:rPr>
          <w:b/>
          <w:b/>
          <w:sz w:val="24"/>
          <w:szCs w:val="24"/>
        </w:rPr>
      </w:pPr>
      <w:r>
        <w:rPr>
          <w:b/>
          <w:sz w:val="24"/>
          <w:szCs w:val="24"/>
        </w:rPr>
      </w:r>
    </w:p>
    <w:p>
      <w:pPr>
        <w:pStyle w:val="Normal"/>
        <w:jc w:val="both"/>
        <w:rPr>
          <w:color w:val="000000"/>
          <w:sz w:val="24"/>
          <w:szCs w:val="24"/>
        </w:rPr>
      </w:pPr>
      <w:r>
        <w:rPr>
          <w:sz w:val="24"/>
          <w:szCs w:val="24"/>
        </w:rPr>
        <w:t xml:space="preserve">(1) </w:t>
      </w:r>
      <w:r>
        <w:rPr>
          <w:color w:val="000000"/>
          <w:sz w:val="24"/>
          <w:szCs w:val="24"/>
        </w:rPr>
        <w:t>Do školního vzdělávacího programu vydaného ředitelem školy je začleněna problematika prevence rizikového chování u dětí.</w:t>
      </w:r>
    </w:p>
    <w:p>
      <w:pPr>
        <w:pStyle w:val="Normal"/>
        <w:ind w:firstLine="360"/>
        <w:jc w:val="both"/>
        <w:rPr>
          <w:sz w:val="24"/>
          <w:szCs w:val="24"/>
        </w:rPr>
      </w:pPr>
      <w:r>
        <w:rPr>
          <w:sz w:val="24"/>
          <w:szCs w:val="24"/>
        </w:rPr>
      </w:r>
    </w:p>
    <w:p>
      <w:pPr>
        <w:pStyle w:val="Normal"/>
        <w:jc w:val="both"/>
        <w:rPr>
          <w:sz w:val="24"/>
          <w:szCs w:val="24"/>
        </w:rPr>
      </w:pPr>
      <w:r>
        <w:rPr>
          <w:sz w:val="24"/>
          <w:szCs w:val="24"/>
        </w:rPr>
        <w:t xml:space="preserve">(2) Každý </w:t>
      </w:r>
      <w:r>
        <w:rPr>
          <w:color w:val="000000"/>
          <w:sz w:val="24"/>
          <w:szCs w:val="24"/>
        </w:rPr>
        <w:t>pedagogický pracovník</w:t>
      </w:r>
      <w:r>
        <w:rPr>
          <w:sz w:val="24"/>
          <w:szCs w:val="24"/>
        </w:rPr>
        <w:t xml:space="preserve"> dbá, aby uplatňovaná prevence rizikového chování u </w:t>
      </w:r>
      <w:r>
        <w:rPr>
          <w:color w:val="000000"/>
          <w:sz w:val="24"/>
          <w:szCs w:val="24"/>
        </w:rPr>
        <w:t>dětí</w:t>
      </w:r>
      <w:r>
        <w:rPr>
          <w:sz w:val="24"/>
          <w:szCs w:val="24"/>
        </w:rPr>
        <w:t xml:space="preserve"> podle odstavce 1 byla prováděna komplexně, tj. ve všech oblastech školního prostředí a života, jichž se prevence rizikového chování u </w:t>
      </w:r>
      <w:r>
        <w:rPr>
          <w:color w:val="000000"/>
          <w:sz w:val="24"/>
          <w:szCs w:val="24"/>
        </w:rPr>
        <w:t>žáků</w:t>
      </w:r>
      <w:r>
        <w:rPr>
          <w:sz w:val="24"/>
          <w:szCs w:val="24"/>
        </w:rPr>
        <w:t xml:space="preserve"> dotýká:</w:t>
      </w:r>
    </w:p>
    <w:p>
      <w:pPr>
        <w:pStyle w:val="Normal"/>
        <w:numPr>
          <w:ilvl w:val="0"/>
          <w:numId w:val="8"/>
        </w:numPr>
        <w:jc w:val="both"/>
        <w:rPr>
          <w:sz w:val="24"/>
          <w:szCs w:val="24"/>
        </w:rPr>
      </w:pPr>
      <w:r>
        <w:rPr>
          <w:sz w:val="24"/>
          <w:szCs w:val="24"/>
        </w:rPr>
        <w:t>Psychosociální dovednosti (soběstačnost, autonomie, důstojnost, seberealizace, spokojenost v rodinných, přátelských a dalších mezilidských vztazích, sociální a kulturní integrovanost, tvořivost, schopnost milovat, pracovat a žít v souladu s rozmanitou kulturou a světem).</w:t>
      </w:r>
    </w:p>
    <w:p>
      <w:pPr>
        <w:pStyle w:val="Normal"/>
        <w:numPr>
          <w:ilvl w:val="0"/>
          <w:numId w:val="8"/>
        </w:numPr>
        <w:jc w:val="both"/>
        <w:rPr>
          <w:sz w:val="24"/>
          <w:szCs w:val="24"/>
        </w:rPr>
      </w:pPr>
      <w:r>
        <w:rPr>
          <w:sz w:val="24"/>
          <w:szCs w:val="24"/>
        </w:rPr>
        <w:t xml:space="preserve">Existence </w:t>
      </w:r>
      <w:r>
        <w:rPr>
          <w:bCs/>
          <w:sz w:val="24"/>
          <w:szCs w:val="24"/>
        </w:rPr>
        <w:t>(</w:t>
      </w:r>
      <w:r>
        <w:rPr>
          <w:sz w:val="24"/>
          <w:szCs w:val="24"/>
        </w:rPr>
        <w:t>pečuji o sebe, o svůj zevnějšek, volím mezi zdravým a nezdravým způsobem života</w:t>
      </w:r>
      <w:r>
        <w:rPr>
          <w:sz w:val="24"/>
          <w:szCs w:val="24"/>
        </w:rPr>
        <w:t>)</w:t>
      </w:r>
    </w:p>
    <w:p>
      <w:pPr>
        <w:pStyle w:val="Normal"/>
        <w:numPr>
          <w:ilvl w:val="0"/>
          <w:numId w:val="8"/>
        </w:numPr>
        <w:jc w:val="both"/>
        <w:rPr>
          <w:sz w:val="24"/>
          <w:szCs w:val="24"/>
        </w:rPr>
      </w:pPr>
      <w:r>
        <w:rPr>
          <w:sz w:val="24"/>
          <w:szCs w:val="24"/>
        </w:rPr>
        <w:t>Sounáležitost (vnímám se jako součást životního prostředí a Země, cítím se bezpečně ve škole, ve městě, jsem oceňován a ostatní si mě váží, mám kamarády a vážím si jich, umím se o sebe postarat a přijímat zdravotní/sociální pomoc a služby).</w:t>
      </w:r>
    </w:p>
    <w:p>
      <w:pPr>
        <w:pStyle w:val="Normal"/>
        <w:numPr>
          <w:ilvl w:val="0"/>
          <w:numId w:val="8"/>
        </w:numPr>
        <w:jc w:val="both"/>
        <w:rPr>
          <w:sz w:val="24"/>
          <w:szCs w:val="24"/>
        </w:rPr>
      </w:pPr>
      <w:r>
        <w:rPr>
          <w:sz w:val="24"/>
          <w:szCs w:val="24"/>
        </w:rPr>
        <w:t>Adaptabilita (dávám pozor na sebe a svůj zevnějšek, účastním se sportovních a rekreačních aktivit, setkávám se s lidmi a trávím s nimi volný čas, řeším s odvahou své problémy).</w:t>
      </w:r>
    </w:p>
    <w:p>
      <w:pPr>
        <w:pStyle w:val="Normal"/>
        <w:ind w:firstLine="360"/>
        <w:jc w:val="both"/>
        <w:rPr>
          <w:sz w:val="24"/>
          <w:szCs w:val="24"/>
        </w:rPr>
      </w:pPr>
      <w:r>
        <w:rPr>
          <w:sz w:val="24"/>
          <w:szCs w:val="24"/>
        </w:rPr>
      </w:r>
    </w:p>
    <w:p>
      <w:pPr>
        <w:pStyle w:val="Normal"/>
        <w:ind w:firstLine="360"/>
        <w:jc w:val="both"/>
        <w:rPr>
          <w:sz w:val="24"/>
          <w:szCs w:val="24"/>
        </w:rPr>
      </w:pPr>
      <w:r>
        <w:rPr>
          <w:sz w:val="24"/>
          <w:szCs w:val="24"/>
        </w:rPr>
      </w:r>
    </w:p>
    <w:p>
      <w:pPr>
        <w:pStyle w:val="Normal"/>
        <w:rPr>
          <w:bCs/>
          <w:color w:val="000000"/>
          <w:sz w:val="24"/>
          <w:szCs w:val="24"/>
        </w:rPr>
      </w:pPr>
      <w:r>
        <w:rPr>
          <w:bCs/>
          <w:color w:val="000000"/>
          <w:sz w:val="24"/>
          <w:szCs w:val="24"/>
        </w:rPr>
        <w:t>(3) Minimální preventivní program</w:t>
      </w:r>
    </w:p>
    <w:p>
      <w:pPr>
        <w:pStyle w:val="Normal"/>
        <w:numPr>
          <w:ilvl w:val="0"/>
          <w:numId w:val="3"/>
        </w:numPr>
        <w:tabs>
          <w:tab w:val="clear" w:pos="708"/>
          <w:tab w:val="left" w:pos="709" w:leader="none"/>
        </w:tabs>
        <w:ind w:left="709" w:hanging="425"/>
        <w:jc w:val="both"/>
        <w:rPr>
          <w:color w:val="000000"/>
          <w:sz w:val="24"/>
          <w:szCs w:val="24"/>
        </w:rPr>
      </w:pPr>
      <w:r>
        <w:rPr>
          <w:bCs/>
          <w:color w:val="000000"/>
          <w:sz w:val="24"/>
          <w:szCs w:val="24"/>
        </w:rPr>
        <w:t>je preventivním programem</w:t>
      </w:r>
      <w:r>
        <w:rPr>
          <w:color w:val="000000"/>
          <w:sz w:val="24"/>
          <w:szCs w:val="24"/>
        </w:rPr>
        <w:t xml:space="preserve"> </w:t>
      </w:r>
      <w:r>
        <w:rPr>
          <w:bCs/>
          <w:color w:val="000000"/>
          <w:sz w:val="24"/>
          <w:szCs w:val="24"/>
        </w:rPr>
        <w:t>školy</w:t>
      </w:r>
      <w:r>
        <w:rPr>
          <w:color w:val="000000"/>
          <w:sz w:val="24"/>
          <w:szCs w:val="24"/>
        </w:rPr>
        <w:t xml:space="preserve"> a školského zařízení,</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 xml:space="preserve">je součástí </w:t>
      </w:r>
      <w:r>
        <w:rPr>
          <w:bCs/>
          <w:color w:val="000000"/>
          <w:sz w:val="24"/>
          <w:szCs w:val="24"/>
        </w:rPr>
        <w:t>školního</w:t>
      </w:r>
      <w:r>
        <w:rPr>
          <w:color w:val="000000"/>
          <w:sz w:val="24"/>
          <w:szCs w:val="24"/>
        </w:rPr>
        <w:t xml:space="preserve"> vzdělávacího programu, který vychází z příslušného rámcového vzdělávacího programu, popř. upravovaného přílohou.</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vychází z omezených časových, personálních a finančních investic se zaměřením na nejvyšší efektivitu,</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jasně definuje dlouhodobé, střednědobé a krátkodobé cíle,</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je naplánován tak, aby byl realizovatelným,</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 xml:space="preserve">se přizpůsobuje kulturním, sociálním či politickým okolnostem i struktuře školy či specifické populaci jak v rámci školy, tak v jejím okolí, respektuje specifika ve školním prostředí, </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 xml:space="preserve">oddaluje nebo snižuje výskyt rizikového chování  </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 xml:space="preserve">zvyšuje schopnost </w:t>
      </w:r>
      <w:r>
        <w:rPr>
          <w:color w:val="000000"/>
          <w:sz w:val="24"/>
          <w:szCs w:val="24"/>
        </w:rPr>
        <w:t>dětí</w:t>
      </w:r>
      <w:r>
        <w:rPr>
          <w:color w:val="000000"/>
          <w:sz w:val="24"/>
          <w:szCs w:val="24"/>
        </w:rPr>
        <w:t xml:space="preserve"> činit informovaná a zodpovědná rozhodnutí,</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má dlouhotrvající vliv na změnu chování,</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pojmenovává problémy z oblasti rizikového chování dle čl. 1, odst. 1 a případné další rizikové projevy chování ,</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 xml:space="preserve">pomáhá zejména těm jedincům, kteří pocházejí z nejvíce ohrožených skupin (minoritám, cizincům, dětem a žákům zdravotně či sociálně znevýhodněným) při ochraně jejich lidských práv, </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 xml:space="preserve">podporuje zdravý životní styl a usiluje o předávání vyvážených informací a dovedností, </w:t>
      </w:r>
    </w:p>
    <w:p>
      <w:pPr>
        <w:pStyle w:val="Normal"/>
        <w:numPr>
          <w:ilvl w:val="0"/>
          <w:numId w:val="3"/>
        </w:numPr>
        <w:tabs>
          <w:tab w:val="clear" w:pos="708"/>
          <w:tab w:val="left" w:pos="709" w:leader="none"/>
        </w:tabs>
        <w:ind w:left="709" w:hanging="425"/>
        <w:jc w:val="both"/>
        <w:rPr>
          <w:color w:val="000000"/>
          <w:sz w:val="24"/>
          <w:szCs w:val="24"/>
        </w:rPr>
      </w:pPr>
      <w:r>
        <w:rPr>
          <w:color w:val="000000"/>
          <w:sz w:val="24"/>
          <w:szCs w:val="24"/>
        </w:rPr>
        <w:t>pokud se na realizaci podílí vnější subjekt (mimo samotnou školu), pak (je-li pro danou oblast zavedeno) doporučujeme volbu takového subjektu, který má pro danou činnost certifikaci.</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t>Článek 5</w:t>
      </w:r>
    </w:p>
    <w:p>
      <w:pPr>
        <w:pStyle w:val="Normal"/>
        <w:jc w:val="center"/>
        <w:rPr>
          <w:b/>
          <w:b/>
          <w:color w:val="000000"/>
          <w:sz w:val="24"/>
          <w:szCs w:val="24"/>
        </w:rPr>
      </w:pPr>
      <w:r>
        <w:rPr>
          <w:b/>
          <w:color w:val="000000"/>
          <w:sz w:val="24"/>
          <w:szCs w:val="24"/>
        </w:rPr>
        <w:t>Minimální preventivní program školy, školského zařízení (dále jen škola)</w:t>
      </w:r>
    </w:p>
    <w:p>
      <w:pPr>
        <w:pStyle w:val="Normal"/>
        <w:jc w:val="center"/>
        <w:rPr>
          <w:b/>
          <w:b/>
          <w:sz w:val="24"/>
          <w:szCs w:val="24"/>
        </w:rPr>
      </w:pPr>
      <w:r>
        <w:rPr>
          <w:b/>
          <w:sz w:val="24"/>
          <w:szCs w:val="24"/>
        </w:rPr>
      </w:r>
    </w:p>
    <w:p>
      <w:pPr>
        <w:pStyle w:val="Normal"/>
        <w:jc w:val="both"/>
        <w:rPr>
          <w:sz w:val="24"/>
          <w:szCs w:val="24"/>
        </w:rPr>
      </w:pPr>
      <w:r>
        <w:rPr>
          <w:sz w:val="24"/>
          <w:szCs w:val="24"/>
        </w:rPr>
        <w:t xml:space="preserve">(1) Na tvorbě a realizaci </w:t>
      </w:r>
      <w:r>
        <w:rPr>
          <w:color w:val="000000"/>
          <w:sz w:val="24"/>
          <w:szCs w:val="24"/>
        </w:rPr>
        <w:t>Preventivního programu</w:t>
      </w:r>
      <w:r>
        <w:rPr>
          <w:sz w:val="24"/>
          <w:szCs w:val="24"/>
        </w:rPr>
        <w:t xml:space="preserve"> se podílejí všichni pedagogičtí pracovníci školy.</w:t>
      </w:r>
    </w:p>
    <w:p>
      <w:pPr>
        <w:pStyle w:val="Normal"/>
        <w:jc w:val="both"/>
        <w:rPr>
          <w:sz w:val="24"/>
          <w:szCs w:val="24"/>
        </w:rPr>
      </w:pPr>
      <w:r>
        <w:rPr/>
      </w:r>
    </w:p>
    <w:p>
      <w:pPr>
        <w:pStyle w:val="Normal"/>
        <w:jc w:val="both"/>
        <w:rPr>
          <w:sz w:val="24"/>
          <w:szCs w:val="24"/>
        </w:rPr>
      </w:pPr>
      <w:r>
        <w:rPr>
          <w:sz w:val="24"/>
          <w:szCs w:val="24"/>
        </w:rPr>
        <w:t>(2) Škola vždy zpracovává Minimální p</w:t>
      </w:r>
      <w:r>
        <w:rPr>
          <w:color w:val="000000"/>
          <w:sz w:val="24"/>
          <w:szCs w:val="24"/>
        </w:rPr>
        <w:t>reventivní program (v případě programu realizovaného externím subjektem doporučení viz Příloha 1.), který</w:t>
      </w:r>
      <w:r>
        <w:rPr>
          <w:sz w:val="24"/>
          <w:szCs w:val="24"/>
        </w:rPr>
        <w:t xml:space="preserve"> podléhá kontrole České školní inspekce. </w:t>
      </w:r>
      <w:r>
        <w:rPr>
          <w:color w:val="000000"/>
          <w:sz w:val="24"/>
          <w:szCs w:val="24"/>
        </w:rPr>
        <w:t>K zahájení nebo rozvinutí prioritních preventivních projektů realizovaných jako součást</w:t>
      </w:r>
      <w:r>
        <w:rPr/>
        <w:t xml:space="preserve"> P</w:t>
      </w:r>
      <w:r>
        <w:rPr>
          <w:color w:val="000000"/>
          <w:sz w:val="24"/>
          <w:szCs w:val="24"/>
        </w:rPr>
        <w:t>reventivního programu</w:t>
      </w:r>
      <w:r>
        <w:rPr>
          <w:sz w:val="24"/>
          <w:szCs w:val="24"/>
        </w:rPr>
        <w:t xml:space="preserve"> </w:t>
      </w:r>
      <w:r>
        <w:rPr>
          <w:color w:val="000000"/>
          <w:sz w:val="24"/>
          <w:szCs w:val="24"/>
        </w:rPr>
        <w:t>nebo k zabezpečení Preventivního programu</w:t>
      </w:r>
      <w:r>
        <w:rPr>
          <w:sz w:val="24"/>
          <w:szCs w:val="24"/>
        </w:rPr>
        <w:t xml:space="preserve"> může škola využít dotačního řízení v rámci prevence rizikového chování u dětí a mládeže v působnosti resortu MŠMT nebo krajů na daný rok.</w:t>
      </w:r>
    </w:p>
    <w:p>
      <w:pPr>
        <w:pStyle w:val="Normal"/>
        <w:tabs>
          <w:tab w:val="clear" w:pos="708"/>
          <w:tab w:val="left" w:pos="709" w:leader="none"/>
        </w:tabs>
        <w:ind w:firstLine="360"/>
        <w:jc w:val="both"/>
        <w:rPr>
          <w:sz w:val="24"/>
          <w:szCs w:val="24"/>
        </w:rPr>
      </w:pPr>
      <w:r>
        <w:rPr>
          <w:sz w:val="24"/>
          <w:szCs w:val="24"/>
        </w:rPr>
      </w:r>
    </w:p>
    <w:p>
      <w:pPr>
        <w:pStyle w:val="Normal"/>
        <w:jc w:val="center"/>
        <w:rPr>
          <w:sz w:val="24"/>
          <w:szCs w:val="24"/>
        </w:rPr>
      </w:pPr>
      <w:r>
        <w:rPr>
          <w:sz w:val="24"/>
          <w:szCs w:val="24"/>
        </w:rPr>
      </w:r>
    </w:p>
    <w:p>
      <w:pPr>
        <w:pStyle w:val="Normal"/>
        <w:jc w:val="both"/>
        <w:rPr>
          <w:sz w:val="24"/>
          <w:szCs w:val="24"/>
        </w:rPr>
      </w:pPr>
      <w:r>
        <w:rPr>
          <w:sz w:val="24"/>
          <w:szCs w:val="24"/>
        </w:rPr>
      </w:r>
    </w:p>
    <w:p>
      <w:pPr>
        <w:pStyle w:val="Tlotextu"/>
        <w:jc w:val="center"/>
        <w:rPr>
          <w:bCs/>
          <w:color w:val="000000"/>
          <w:szCs w:val="24"/>
        </w:rPr>
      </w:pPr>
      <w:r>
        <w:rPr>
          <w:bCs/>
          <w:color w:val="000000"/>
          <w:szCs w:val="24"/>
        </w:rPr>
        <w:t xml:space="preserve">Článek </w:t>
      </w:r>
      <w:r>
        <w:rPr>
          <w:bCs/>
          <w:color w:val="000000"/>
          <w:szCs w:val="24"/>
        </w:rPr>
        <w:t>6</w:t>
      </w:r>
    </w:p>
    <w:p>
      <w:pPr>
        <w:pStyle w:val="Normal"/>
        <w:jc w:val="both"/>
        <w:rPr>
          <w:sz w:val="24"/>
          <w:szCs w:val="24"/>
        </w:rPr>
      </w:pPr>
      <w:r>
        <w:rPr>
          <w:sz w:val="24"/>
          <w:szCs w:val="24"/>
        </w:rPr>
        <w:t xml:space="preserve">Nedílnou součástí této směrnice jsou přílohy uvedené v materiálu MŠMT: </w:t>
      </w:r>
      <w:r>
        <w:rPr>
          <w:b/>
          <w:i/>
          <w:sz w:val="24"/>
          <w:szCs w:val="24"/>
        </w:rPr>
        <w:t xml:space="preserve">„Metodické doporučení  k primární prevenci rizikového chování u dětí, </w:t>
      </w:r>
      <w:r>
        <w:rPr>
          <w:b/>
          <w:i/>
          <w:color w:val="000000"/>
          <w:sz w:val="24"/>
          <w:szCs w:val="24"/>
        </w:rPr>
        <w:t>žáků a studentů</w:t>
      </w:r>
      <w:r>
        <w:rPr>
          <w:b/>
          <w:i/>
          <w:sz w:val="24"/>
          <w:szCs w:val="24"/>
        </w:rPr>
        <w:t xml:space="preserve"> ve školách a školských zařízeních č.j. 21291/2010-28“ </w:t>
      </w:r>
      <w:r>
        <w:rPr>
          <w:sz w:val="24"/>
          <w:szCs w:val="24"/>
        </w:rPr>
        <w:t xml:space="preserve">účinného k 1.11.2010,  číslo 1 – 22. </w:t>
      </w:r>
    </w:p>
    <w:p>
      <w:pPr>
        <w:pStyle w:val="Normal"/>
        <w:ind w:firstLine="708"/>
        <w:jc w:val="center"/>
        <w:rPr>
          <w:sz w:val="24"/>
          <w:szCs w:val="24"/>
        </w:rPr>
      </w:pPr>
      <w:r>
        <w:rPr>
          <w:sz w:val="24"/>
          <w:szCs w:val="24"/>
        </w:rPr>
      </w:r>
    </w:p>
    <w:p>
      <w:pPr>
        <w:pStyle w:val="Tlotextu"/>
        <w:jc w:val="center"/>
        <w:rPr>
          <w:bCs/>
          <w:color w:val="FF0000"/>
          <w:sz w:val="16"/>
          <w:szCs w:val="16"/>
        </w:rPr>
      </w:pPr>
      <w:r>
        <w:rPr>
          <w:bCs/>
          <w:color w:val="FF0000"/>
          <w:sz w:val="16"/>
          <w:szCs w:val="16"/>
        </w:rPr>
      </w:r>
    </w:p>
    <w:p>
      <w:pPr>
        <w:pStyle w:val="Tlotextu"/>
        <w:jc w:val="center"/>
        <w:rPr>
          <w:bCs/>
          <w:color w:val="000000"/>
          <w:szCs w:val="24"/>
        </w:rPr>
      </w:pPr>
      <w:r>
        <w:rPr>
          <w:bCs/>
          <w:color w:val="000000"/>
          <w:szCs w:val="24"/>
        </w:rPr>
        <w:t>Článek 8</w:t>
      </w:r>
    </w:p>
    <w:p>
      <w:pPr>
        <w:pStyle w:val="Normal"/>
        <w:jc w:val="center"/>
        <w:rPr>
          <w:b/>
          <w:b/>
          <w:sz w:val="24"/>
          <w:szCs w:val="24"/>
          <w:u w:val="single"/>
        </w:rPr>
      </w:pPr>
      <w:r>
        <w:rPr>
          <w:b/>
          <w:sz w:val="24"/>
          <w:szCs w:val="24"/>
          <w:u w:val="single"/>
        </w:rPr>
        <w:t>Závěrečná ustanovení</w:t>
      </w:r>
    </w:p>
    <w:p>
      <w:pPr>
        <w:pStyle w:val="Normal"/>
        <w:jc w:val="both"/>
        <w:rPr>
          <w:sz w:val="24"/>
          <w:szCs w:val="24"/>
        </w:rPr>
      </w:pPr>
      <w:r>
        <w:rPr>
          <w:sz w:val="24"/>
          <w:szCs w:val="24"/>
        </w:rPr>
      </w:r>
    </w:p>
    <w:p>
      <w:pPr>
        <w:pStyle w:val="Normal"/>
        <w:numPr>
          <w:ilvl w:val="0"/>
          <w:numId w:val="6"/>
        </w:numPr>
        <w:overflowPunct w:val="true"/>
        <w:ind w:left="720" w:hanging="360"/>
        <w:jc w:val="both"/>
        <w:textAlignment w:val="baseline"/>
        <w:rPr>
          <w:sz w:val="24"/>
          <w:szCs w:val="24"/>
        </w:rPr>
      </w:pPr>
      <w:r>
        <w:rPr>
          <w:sz w:val="24"/>
          <w:szCs w:val="24"/>
        </w:rPr>
        <w:t>Kontrolou provádění ustanovení této směrnice je statutárním orgánem školy pověřen</w:t>
      </w:r>
      <w:r>
        <w:rPr>
          <w:sz w:val="24"/>
          <w:szCs w:val="24"/>
        </w:rPr>
        <w:t>a ředitelka školy</w:t>
      </w:r>
    </w:p>
    <w:p>
      <w:pPr>
        <w:pStyle w:val="Normal"/>
        <w:numPr>
          <w:ilvl w:val="0"/>
          <w:numId w:val="6"/>
        </w:numPr>
        <w:overflowPunct w:val="true"/>
        <w:ind w:left="720" w:hanging="360"/>
        <w:jc w:val="both"/>
        <w:textAlignment w:val="baseline"/>
        <w:rPr>
          <w:sz w:val="24"/>
          <w:szCs w:val="24"/>
        </w:rPr>
      </w:pPr>
      <w:r>
        <w:rPr>
          <w:sz w:val="24"/>
          <w:szCs w:val="24"/>
        </w:rPr>
        <w:t xml:space="preserve">Uložení směrnice v archivu školy se řídí spisovým  řádem školy. </w:t>
      </w:r>
    </w:p>
    <w:p>
      <w:pPr>
        <w:pStyle w:val="Normal"/>
        <w:numPr>
          <w:ilvl w:val="0"/>
          <w:numId w:val="6"/>
        </w:numPr>
        <w:overflowPunct w:val="true"/>
        <w:ind w:left="720" w:hanging="360"/>
        <w:jc w:val="both"/>
        <w:textAlignment w:val="baseline"/>
        <w:rPr>
          <w:sz w:val="24"/>
          <w:szCs w:val="24"/>
        </w:rPr>
      </w:pPr>
      <w:r>
        <w:rPr>
          <w:sz w:val="24"/>
          <w:szCs w:val="24"/>
        </w:rPr>
        <w:t xml:space="preserve">Zrušuje se směrnice školy k primární prevenci sociálně patologických jevů. </w:t>
      </w:r>
    </w:p>
    <w:p>
      <w:pPr>
        <w:pStyle w:val="Normal"/>
        <w:numPr>
          <w:ilvl w:val="0"/>
          <w:numId w:val="6"/>
        </w:numPr>
        <w:overflowPunct w:val="true"/>
        <w:ind w:left="720" w:hanging="360"/>
        <w:jc w:val="both"/>
        <w:textAlignment w:val="baseline"/>
        <w:rPr>
          <w:sz w:val="24"/>
          <w:szCs w:val="24"/>
        </w:rPr>
      </w:pPr>
      <w:r>
        <w:rPr>
          <w:sz w:val="24"/>
          <w:szCs w:val="24"/>
        </w:rPr>
        <w:t xml:space="preserve">Směrnice nabývá účinnosti dnem: </w:t>
      </w:r>
      <w:r>
        <w:rPr>
          <w:sz w:val="24"/>
          <w:szCs w:val="24"/>
        </w:rPr>
        <w:t>2.9.2024</w:t>
      </w:r>
    </w:p>
    <w:p>
      <w:pPr>
        <w:pStyle w:val="Normal"/>
        <w:numPr>
          <w:ilvl w:val="0"/>
          <w:numId w:val="6"/>
        </w:numPr>
        <w:overflowPunct w:val="true"/>
        <w:ind w:left="720" w:hanging="360"/>
        <w:jc w:val="both"/>
        <w:textAlignment w:val="baseline"/>
        <w:rPr>
          <w:sz w:val="24"/>
          <w:szCs w:val="24"/>
        </w:rPr>
      </w:pPr>
      <w:r>
        <w:rPr>
          <w:sz w:val="24"/>
          <w:szCs w:val="24"/>
        </w:rPr>
        <w:t>Podle § 30 školského zákona č. 561/2004 Sb. zveřejňuje ředitel školy tento řád následujícím způsobem: vyvěšením v hale školy a ve sborovně školy.</w:t>
      </w:r>
    </w:p>
    <w:p>
      <w:pPr>
        <w:pStyle w:val="Normal"/>
        <w:numPr>
          <w:ilvl w:val="0"/>
          <w:numId w:val="6"/>
        </w:numPr>
        <w:overflowPunct w:val="true"/>
        <w:ind w:left="720" w:hanging="360"/>
        <w:jc w:val="both"/>
        <w:textAlignment w:val="baseline"/>
        <w:rPr>
          <w:sz w:val="24"/>
          <w:szCs w:val="24"/>
        </w:rPr>
      </w:pPr>
      <w:r>
        <w:rPr>
          <w:sz w:val="24"/>
          <w:szCs w:val="24"/>
        </w:rPr>
        <w:t>Zaměstnanci školy s touto směrnicí byli seznámeni na provozní poradě.</w:t>
      </w:r>
    </w:p>
    <w:p>
      <w:pPr>
        <w:pStyle w:val="Normal"/>
        <w:numPr>
          <w:ilvl w:val="0"/>
          <w:numId w:val="6"/>
        </w:numPr>
        <w:overflowPunct w:val="true"/>
        <w:ind w:left="720" w:hanging="360"/>
        <w:jc w:val="both"/>
        <w:textAlignment w:val="baseline"/>
        <w:rPr>
          <w:sz w:val="24"/>
          <w:szCs w:val="24"/>
        </w:rPr>
      </w:pPr>
      <w:r>
        <w:rPr>
          <w:sz w:val="24"/>
          <w:szCs w:val="24"/>
        </w:rPr>
        <w:t xml:space="preserve">Zákonní zástupci </w:t>
      </w:r>
      <w:r>
        <w:rPr>
          <w:sz w:val="24"/>
          <w:szCs w:val="24"/>
        </w:rPr>
        <w:t>děti</w:t>
      </w:r>
      <w:r>
        <w:rPr>
          <w:sz w:val="24"/>
          <w:szCs w:val="24"/>
        </w:rPr>
        <w:t xml:space="preserve"> byli informováni o vydání směrnice školy,  směrnice je pro ně zpřístupněna v hale školy a na webových stránkách školy.</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xml:space="preserve">V  </w:t>
      </w:r>
      <w:r>
        <w:rPr>
          <w:sz w:val="24"/>
          <w:szCs w:val="24"/>
        </w:rPr>
        <w:t xml:space="preserve">Trpíně </w:t>
      </w:r>
      <w:r>
        <w:rPr>
          <w:sz w:val="24"/>
          <w:szCs w:val="24"/>
        </w:rPr>
        <w:t xml:space="preserve">dne </w:t>
      </w:r>
      <w:r>
        <w:rPr>
          <w:sz w:val="24"/>
          <w:szCs w:val="24"/>
        </w:rPr>
        <w:t>2.9.2024</w:t>
      </w:r>
    </w:p>
    <w:p>
      <w:pPr>
        <w:pStyle w:val="Normal"/>
        <w:jc w:val="both"/>
        <w:rPr>
          <w:sz w:val="24"/>
          <w:szCs w:val="24"/>
        </w:rPr>
      </w:pPr>
      <w:r>
        <w:rPr>
          <w:sz w:val="24"/>
          <w:szCs w:val="24"/>
        </w:rPr>
      </w:r>
    </w:p>
    <w:p>
      <w:pPr>
        <w:pStyle w:val="Normal"/>
        <w:rPr>
          <w:i/>
          <w:i/>
          <w:sz w:val="24"/>
          <w:szCs w:val="24"/>
        </w:rPr>
      </w:pPr>
      <w:r>
        <w:rPr>
          <w:i/>
          <w:sz w:val="24"/>
          <w:szCs w:val="24"/>
        </w:rPr>
        <w:t xml:space="preserve">(běžné razítko) </w:t>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t xml:space="preserve">(podpis) </w:t>
      </w:r>
    </w:p>
    <w:p>
      <w:pPr>
        <w:pStyle w:val="Normal"/>
        <w:rPr>
          <w:sz w:val="24"/>
          <w:szCs w:val="24"/>
        </w:rPr>
      </w:pPr>
      <w:r>
        <w:rPr>
          <w:sz w:val="24"/>
          <w:szCs w:val="24"/>
        </w:rPr>
      </w:r>
    </w:p>
    <w:p>
      <w:pPr>
        <w:pStyle w:val="Tlotextu"/>
        <w:rPr>
          <w:szCs w:val="24"/>
        </w:rPr>
      </w:pPr>
      <w:r>
        <w:rPr>
          <w:szCs w:val="24"/>
        </w:rPr>
        <w:t>titul, jméno, funkce</w:t>
      </w:r>
    </w:p>
    <w:p>
      <w:pPr>
        <w:pStyle w:val="Tlotextu"/>
        <w:rPr>
          <w:szCs w:val="24"/>
        </w:rPr>
      </w:pPr>
      <w:r>
        <w:rPr>
          <w:szCs w:val="24"/>
        </w:rPr>
        <w:t>ředitel školy</w:t>
      </w:r>
    </w:p>
    <w:p>
      <w:pPr>
        <w:pStyle w:val="Tlotextu"/>
        <w:rPr>
          <w:szCs w:val="24"/>
        </w:rPr>
      </w:pPr>
      <w:r>
        <w:rPr>
          <w:szCs w:val="24"/>
        </w:rPr>
      </w:r>
    </w:p>
    <w:p>
      <w:pPr>
        <w:pStyle w:val="Normal"/>
        <w:jc w:val="right"/>
        <w:rPr>
          <w:b/>
          <w:b/>
          <w:sz w:val="24"/>
          <w:szCs w:val="24"/>
        </w:rPr>
      </w:pPr>
      <w:r>
        <w:rPr>
          <w:b/>
          <w:sz w:val="24"/>
          <w:szCs w:val="24"/>
        </w:rPr>
      </w:r>
    </w:p>
    <w:p>
      <w:pPr>
        <w:pStyle w:val="Normal"/>
        <w:widowControl w:val="false"/>
        <w:ind w:firstLine="360"/>
        <w:jc w:val="both"/>
        <w:rPr>
          <w:sz w:val="24"/>
          <w:szCs w:val="24"/>
        </w:rPr>
      </w:pPr>
      <w:r>
        <w:rPr>
          <w:sz w:val="24"/>
          <w:szCs w:val="24"/>
        </w:rPr>
      </w:r>
    </w:p>
    <w:p>
      <w:pPr>
        <w:pStyle w:val="Normal"/>
        <w:widowControl w:val="false"/>
        <w:ind w:firstLine="360"/>
        <w:jc w:val="both"/>
        <w:rPr>
          <w:color w:val="000000"/>
          <w:sz w:val="24"/>
          <w:szCs w:val="24"/>
        </w:rPr>
      </w:pPr>
      <w:r>
        <w:rPr>
          <w:color w:val="000000"/>
          <w:sz w:val="24"/>
          <w:szCs w:val="24"/>
        </w:rPr>
      </w:r>
    </w:p>
    <w:p>
      <w:pPr>
        <w:pStyle w:val="Normal"/>
        <w:widowControl w:val="false"/>
        <w:ind w:firstLine="360"/>
        <w:jc w:val="both"/>
        <w:rPr>
          <w:color w:val="000000"/>
          <w:sz w:val="24"/>
          <w:szCs w:val="24"/>
        </w:rPr>
      </w:pPr>
      <w:r>
        <w:rPr>
          <w:color w:val="000000"/>
          <w:sz w:val="24"/>
          <w:szCs w:val="24"/>
        </w:rPr>
      </w:r>
    </w:p>
    <w:p>
      <w:pPr>
        <w:pStyle w:val="Normal"/>
        <w:widowControl w:val="false"/>
        <w:ind w:firstLine="360"/>
        <w:jc w:val="both"/>
        <w:rPr>
          <w:color w:val="000000"/>
          <w:sz w:val="24"/>
          <w:szCs w:val="24"/>
        </w:rPr>
      </w:pPr>
      <w:r>
        <w:rPr>
          <w:color w:val="000000"/>
          <w:sz w:val="24"/>
          <w:szCs w:val="24"/>
        </w:rPr>
      </w:r>
    </w:p>
    <w:p>
      <w:pPr>
        <w:pStyle w:val="Normal"/>
        <w:widowControl w:val="false"/>
        <w:ind w:firstLine="360"/>
        <w:jc w:val="both"/>
        <w:rPr>
          <w:color w:val="000000"/>
          <w:sz w:val="24"/>
          <w:szCs w:val="24"/>
        </w:rPr>
      </w:pPr>
      <w:r>
        <w:rPr>
          <w:color w:val="000000"/>
          <w:sz w:val="24"/>
          <w:szCs w:val="24"/>
        </w:rPr>
      </w:r>
    </w:p>
    <w:p>
      <w:pPr>
        <w:pStyle w:val="Normal"/>
        <w:widowControl w:val="false"/>
        <w:ind w:firstLine="360"/>
        <w:jc w:val="both"/>
        <w:rPr>
          <w:color w:val="000000"/>
          <w:sz w:val="24"/>
          <w:szCs w:val="24"/>
        </w:rPr>
      </w:pPr>
      <w:r>
        <w:rPr>
          <w:color w:val="000000"/>
          <w:sz w:val="24"/>
          <w:szCs w:val="24"/>
        </w:rPr>
      </w:r>
    </w:p>
    <w:p>
      <w:pPr>
        <w:pStyle w:val="Normal"/>
        <w:widowControl w:val="false"/>
        <w:ind w:firstLine="360"/>
        <w:jc w:val="both"/>
        <w:rPr>
          <w:color w:val="000000"/>
          <w:sz w:val="24"/>
          <w:szCs w:val="24"/>
        </w:rPr>
      </w:pPr>
      <w:r>
        <w:rPr>
          <w:color w:val="000000"/>
          <w:sz w:val="24"/>
          <w:szCs w:val="24"/>
        </w:rPr>
      </w:r>
    </w:p>
    <w:p>
      <w:pPr>
        <w:pStyle w:val="Normal"/>
        <w:widowControl w:val="false"/>
        <w:ind w:firstLine="360"/>
        <w:jc w:val="both"/>
        <w:rPr>
          <w:color w:val="000000"/>
          <w:sz w:val="24"/>
          <w:szCs w:val="24"/>
        </w:rPr>
      </w:pPr>
      <w:r>
        <w:rPr>
          <w:color w:val="000000"/>
          <w:sz w:val="24"/>
          <w:szCs w:val="24"/>
        </w:rPr>
        <w:t>Příloha 1.</w:t>
      </w:r>
    </w:p>
    <w:p>
      <w:pPr>
        <w:pStyle w:val="Normal"/>
        <w:widowControl w:val="false"/>
        <w:ind w:firstLine="360"/>
        <w:jc w:val="both"/>
        <w:rPr>
          <w:color w:val="000000"/>
          <w:sz w:val="24"/>
          <w:szCs w:val="24"/>
        </w:rPr>
      </w:pPr>
      <w:r>
        <w:rPr>
          <w:color w:val="000000"/>
          <w:sz w:val="24"/>
          <w:szCs w:val="24"/>
        </w:rPr>
      </w:r>
    </w:p>
    <w:p>
      <w:pPr>
        <w:pStyle w:val="Normal"/>
        <w:jc w:val="center"/>
        <w:rPr>
          <w:sz w:val="24"/>
          <w:szCs w:val="24"/>
        </w:rPr>
      </w:pPr>
      <w:r>
        <w:rPr>
          <w:b/>
          <w:sz w:val="24"/>
          <w:szCs w:val="24"/>
        </w:rPr>
        <w:t xml:space="preserve">Volba partnera při realizaci Minimálního preventivního programu </w:t>
      </w:r>
    </w:p>
    <w:p>
      <w:pPr>
        <w:pStyle w:val="Normal"/>
        <w:jc w:val="center"/>
        <w:rPr>
          <w:sz w:val="24"/>
          <w:szCs w:val="24"/>
        </w:rPr>
      </w:pPr>
      <w:r>
        <w:rPr>
          <w:sz w:val="24"/>
          <w:szCs w:val="24"/>
        </w:rPr>
        <w:t>Praktický návod pro školy – Jak vhodně zvolit preventivní program.</w:t>
      </w:r>
    </w:p>
    <w:p>
      <w:pPr>
        <w:pStyle w:val="Normal"/>
        <w:jc w:val="center"/>
        <w:rPr>
          <w:sz w:val="24"/>
          <w:szCs w:val="24"/>
        </w:rPr>
      </w:pPr>
      <w:r>
        <w:rPr>
          <w:sz w:val="24"/>
          <w:szCs w:val="24"/>
        </w:rPr>
      </w:r>
    </w:p>
    <w:p>
      <w:pPr>
        <w:pStyle w:val="Normal"/>
        <w:jc w:val="both"/>
        <w:rPr>
          <w:sz w:val="24"/>
          <w:szCs w:val="24"/>
        </w:rPr>
      </w:pPr>
      <w:r>
        <w:rPr>
          <w:sz w:val="24"/>
          <w:szCs w:val="24"/>
        </w:rPr>
        <w:t xml:space="preserve">Za výběr externího dodavatele (NNO, PPP, SVP apod.), který realizuje na škole preventivní program, vždy odpovídá ředitel školy. Proto by měl vybírat odpovědně. </w:t>
      </w:r>
    </w:p>
    <w:p>
      <w:pPr>
        <w:pStyle w:val="Normal"/>
        <w:jc w:val="both"/>
        <w:rPr>
          <w:sz w:val="24"/>
          <w:szCs w:val="24"/>
        </w:rPr>
      </w:pPr>
      <w:r>
        <w:rPr>
          <w:sz w:val="24"/>
          <w:szCs w:val="24"/>
        </w:rPr>
      </w:r>
    </w:p>
    <w:p>
      <w:pPr>
        <w:pStyle w:val="Normal"/>
        <w:jc w:val="both"/>
        <w:rPr>
          <w:sz w:val="24"/>
          <w:szCs w:val="24"/>
        </w:rPr>
      </w:pPr>
      <w:r>
        <w:rPr>
          <w:sz w:val="24"/>
          <w:szCs w:val="24"/>
        </w:rPr>
        <w:t>Jak postupovat, jestliže externí organizace -</w:t>
      </w:r>
    </w:p>
    <w:p>
      <w:pPr>
        <w:pStyle w:val="ListParagraph"/>
        <w:numPr>
          <w:ilvl w:val="0"/>
          <w:numId w:val="9"/>
        </w:numPr>
        <w:spacing w:before="0" w:after="120"/>
        <w:contextualSpacing w:val="false"/>
        <w:jc w:val="both"/>
        <w:rPr/>
      </w:pPr>
      <w:r>
        <w:rPr/>
        <w:t>Má program certifikovaný MŠMT nebo Úřadem vlády</w:t>
      </w:r>
    </w:p>
    <w:p>
      <w:pPr>
        <w:pStyle w:val="ListParagraph"/>
        <w:numPr>
          <w:ilvl w:val="1"/>
          <w:numId w:val="9"/>
        </w:numPr>
        <w:spacing w:before="0" w:after="120"/>
        <w:contextualSpacing w:val="false"/>
        <w:jc w:val="both"/>
        <w:rPr>
          <w:rStyle w:val="Textzaklad"/>
        </w:rPr>
      </w:pPr>
      <w:r>
        <w:rPr/>
        <w:t xml:space="preserve">Pokud má program organizace certifikát </w:t>
      </w:r>
      <w:r>
        <w:rPr>
          <w:rStyle w:val="Textzaklad"/>
        </w:rPr>
        <w:t xml:space="preserve">odborné způsobilosti poskytovatelů programů primární prevence uživatelů návykových látek, lze předpokládat, že takovýto program je to efektivní pro vaši školu. V tomto případě již další znaky dobrého programu nemusíte číst, protože certifikovaný program je všechny naplňuje. </w:t>
      </w:r>
    </w:p>
    <w:p>
      <w:pPr>
        <w:pStyle w:val="ListParagraph"/>
        <w:spacing w:before="0" w:after="120"/>
        <w:ind w:left="0" w:hanging="0"/>
        <w:contextualSpacing/>
        <w:jc w:val="both"/>
        <w:rPr>
          <w:rStyle w:val="Textzaklad"/>
        </w:rPr>
      </w:pPr>
      <w:r>
        <w:rPr/>
      </w:r>
    </w:p>
    <w:p>
      <w:pPr>
        <w:pStyle w:val="ListParagraph"/>
        <w:numPr>
          <w:ilvl w:val="0"/>
          <w:numId w:val="9"/>
        </w:numPr>
        <w:spacing w:before="0" w:after="120"/>
        <w:contextualSpacing w:val="false"/>
        <w:jc w:val="both"/>
        <w:rPr/>
      </w:pPr>
      <w:r>
        <w:rPr/>
        <w:t>Nemá program certifikovaný, zaměřte svou pozornost na to, do jaké míry a v jaké kvalitě organizace nabízí -</w:t>
      </w:r>
    </w:p>
    <w:p>
      <w:pPr>
        <w:pStyle w:val="ListParagraph"/>
        <w:numPr>
          <w:ilvl w:val="0"/>
          <w:numId w:val="10"/>
        </w:numPr>
        <w:spacing w:before="0" w:after="120"/>
        <w:contextualSpacing w:val="false"/>
        <w:jc w:val="both"/>
        <w:rPr/>
      </w:pPr>
      <w:r>
        <w:rPr/>
        <w:t>Kompletní informace o programu (jak a co + časový rozpis) předem.</w:t>
      </w:r>
    </w:p>
    <w:p>
      <w:pPr>
        <w:pStyle w:val="ListParagraph"/>
        <w:numPr>
          <w:ilvl w:val="1"/>
          <w:numId w:val="10"/>
        </w:numPr>
        <w:spacing w:before="0" w:after="120"/>
        <w:contextualSpacing w:val="false"/>
        <w:jc w:val="both"/>
        <w:rPr/>
      </w:pPr>
      <w:r>
        <w:rPr/>
        <w:t>Organizace je schopná vám předem poskytnout informace o tom, jak bude program ve vaší škole probíhat. Kolik obsahuje hodin, jaké témata se v jednotlivých částech probírají, kdo bude program lektorovat atd.</w:t>
      </w:r>
    </w:p>
    <w:p>
      <w:pPr>
        <w:pStyle w:val="ListParagraph"/>
        <w:numPr>
          <w:ilvl w:val="0"/>
          <w:numId w:val="10"/>
        </w:numPr>
        <w:spacing w:before="0" w:after="120"/>
        <w:contextualSpacing w:val="false"/>
        <w:jc w:val="both"/>
        <w:rPr/>
      </w:pPr>
      <w:r>
        <w:rPr/>
        <w:t>Schopnost pružně reagovat a připravit program tak, aby co nejlépe vystihnul potřeby školy</w:t>
      </w:r>
    </w:p>
    <w:p>
      <w:pPr>
        <w:pStyle w:val="ListParagraph"/>
        <w:numPr>
          <w:ilvl w:val="1"/>
          <w:numId w:val="10"/>
        </w:numPr>
        <w:spacing w:before="0" w:after="120"/>
        <w:contextualSpacing w:val="false"/>
        <w:jc w:val="both"/>
        <w:rPr/>
      </w:pPr>
      <w:r>
        <w:rPr/>
        <w:t xml:space="preserve">Znakem kvalitního programu je také to, že dokáže pružně reagovat na potřeby školy, ba dokonce, jednotlivých třídních kolektivů a témata i délku programu tomu přizpůsobit. </w:t>
      </w:r>
    </w:p>
    <w:p>
      <w:pPr>
        <w:pStyle w:val="ListParagraph"/>
        <w:numPr>
          <w:ilvl w:val="0"/>
          <w:numId w:val="10"/>
        </w:numPr>
        <w:spacing w:before="0" w:after="120"/>
        <w:contextualSpacing w:val="false"/>
        <w:jc w:val="both"/>
        <w:rPr/>
      </w:pPr>
      <w:r>
        <w:rPr/>
        <w:t>Přizpůsobení věku cílové skupiny</w:t>
      </w:r>
    </w:p>
    <w:p>
      <w:pPr>
        <w:pStyle w:val="ListParagraph"/>
        <w:numPr>
          <w:ilvl w:val="1"/>
          <w:numId w:val="10"/>
        </w:numPr>
        <w:spacing w:before="0" w:after="120"/>
        <w:contextualSpacing w:val="false"/>
        <w:jc w:val="both"/>
        <w:rPr/>
      </w:pPr>
      <w:r>
        <w:rPr/>
        <w:t xml:space="preserve">Stejně tak by měl být program primární prevence přizpůsobený cílové skupině, jinak vypadá práce s dětmi na ZŠ, jinak na SŠ. Kvalitní organizace by vás měla informovat o tom, pro jakou cílovou skupinu jsou jejich programy připravené, ideální je, pokud má varianty programu pro různé věkové skupiny. </w:t>
      </w:r>
    </w:p>
    <w:p>
      <w:pPr>
        <w:pStyle w:val="ListParagraph"/>
        <w:numPr>
          <w:ilvl w:val="0"/>
          <w:numId w:val="10"/>
        </w:numPr>
        <w:spacing w:before="0" w:after="120"/>
        <w:contextualSpacing w:val="false"/>
        <w:jc w:val="both"/>
        <w:rPr/>
      </w:pPr>
      <w:r>
        <w:rPr/>
        <w:t>Přítomnost pedagoga na programu – program nemá co skrývat</w:t>
      </w:r>
    </w:p>
    <w:p>
      <w:pPr>
        <w:pStyle w:val="ListParagraph"/>
        <w:numPr>
          <w:ilvl w:val="1"/>
          <w:numId w:val="10"/>
        </w:numPr>
        <w:spacing w:before="0" w:after="120"/>
        <w:contextualSpacing w:val="false"/>
        <w:jc w:val="both"/>
        <w:rPr/>
      </w:pPr>
      <w:r>
        <w:rPr/>
        <w:t xml:space="preserve">Škola má po celou dobu vyučování zodpovědnost za své žáky. Pedagog musí být vždy přítomen na programu. Jenom tak můžete ověřit kvalitu programu. Pokud by organizace vyžadovala nepřítomnost pedagoga na hodině a odůvodňovala to tím, že děti se před pedagogem budou stydět a nebudou mít tendence se otevřít – je to znak neprofesionality. </w:t>
      </w:r>
    </w:p>
    <w:p>
      <w:pPr>
        <w:pStyle w:val="ListParagraph"/>
        <w:numPr>
          <w:ilvl w:val="0"/>
          <w:numId w:val="10"/>
        </w:numPr>
        <w:spacing w:before="0" w:after="120"/>
        <w:contextualSpacing w:val="false"/>
        <w:jc w:val="both"/>
        <w:rPr/>
      </w:pPr>
      <w:r>
        <w:rPr/>
        <w:t xml:space="preserve">Proškolení lektoři </w:t>
      </w:r>
    </w:p>
    <w:p>
      <w:pPr>
        <w:pStyle w:val="ListParagraph"/>
        <w:numPr>
          <w:ilvl w:val="1"/>
          <w:numId w:val="10"/>
        </w:numPr>
        <w:spacing w:before="0" w:after="120"/>
        <w:contextualSpacing w:val="false"/>
        <w:jc w:val="both"/>
        <w:rPr/>
      </w:pPr>
      <w:r>
        <w:rPr/>
        <w:t xml:space="preserve">Organizace je schopná doložit doklady o vzdělání lektorů, kteří mají pravidelnou supervizi. </w:t>
      </w:r>
    </w:p>
    <w:p>
      <w:pPr>
        <w:pStyle w:val="ListParagraph"/>
        <w:numPr>
          <w:ilvl w:val="0"/>
          <w:numId w:val="10"/>
        </w:numPr>
        <w:spacing w:before="0" w:after="120"/>
        <w:contextualSpacing w:val="false"/>
        <w:jc w:val="both"/>
        <w:rPr/>
      </w:pPr>
      <w:r>
        <w:rPr/>
        <w:t>Akreditace neznamená kvalitní program pro práci s žáky</w:t>
      </w:r>
    </w:p>
    <w:p>
      <w:pPr>
        <w:pStyle w:val="ListParagraph"/>
        <w:numPr>
          <w:ilvl w:val="1"/>
          <w:numId w:val="10"/>
        </w:numPr>
        <w:spacing w:before="0" w:after="120"/>
        <w:contextualSpacing w:val="false"/>
        <w:jc w:val="both"/>
        <w:rPr/>
      </w:pPr>
      <w:r>
        <w:rPr/>
        <w:t xml:space="preserve">POZOR! Akreditace se uděluje pouze pro programy dalšího vzdělávání pedagogických pracovníků. To, co zažijete na akreditovaném programu, nemusí být to stejné, co bude organizace řešit v rámci práci s dětmi. Akreditace = program pro dospělé, Certifikace = program pro děti. </w:t>
      </w:r>
    </w:p>
    <w:p>
      <w:pPr>
        <w:pStyle w:val="ListParagraph"/>
        <w:numPr>
          <w:ilvl w:val="0"/>
          <w:numId w:val="10"/>
        </w:numPr>
        <w:spacing w:before="0" w:after="120"/>
        <w:contextualSpacing w:val="false"/>
        <w:jc w:val="both"/>
        <w:rPr/>
      </w:pPr>
      <w:r>
        <w:rPr/>
        <w:t>Organizace je schopna poskytnout podporu a informace i pedagogům</w:t>
      </w:r>
    </w:p>
    <w:p>
      <w:pPr>
        <w:pStyle w:val="ListParagraph"/>
        <w:numPr>
          <w:ilvl w:val="1"/>
          <w:numId w:val="10"/>
        </w:numPr>
        <w:spacing w:before="0" w:after="120"/>
        <w:contextualSpacing w:val="false"/>
        <w:jc w:val="both"/>
        <w:rPr/>
      </w:pPr>
      <w:r>
        <w:rPr/>
        <w:t>Organizace nabízí nejen krátkodobé akce s dětmi, ale kontinuálně pracuje i s pedagogy školy a metodicky je vede při realizaci Preventivního programu.</w:t>
      </w:r>
    </w:p>
    <w:p>
      <w:pPr>
        <w:pStyle w:val="ListParagraph"/>
        <w:numPr>
          <w:ilvl w:val="0"/>
          <w:numId w:val="10"/>
        </w:numPr>
        <w:spacing w:before="0" w:after="120"/>
        <w:contextualSpacing w:val="false"/>
        <w:jc w:val="both"/>
        <w:rPr/>
      </w:pPr>
      <w:r>
        <w:rPr/>
        <w:t xml:space="preserve">Financování organizace je průhledné, mezi sponzory se nevyskytují sekty atd. </w:t>
      </w:r>
    </w:p>
    <w:p>
      <w:pPr>
        <w:pStyle w:val="ListParagraph"/>
        <w:numPr>
          <w:ilvl w:val="1"/>
          <w:numId w:val="10"/>
        </w:numPr>
        <w:spacing w:before="0" w:after="120"/>
        <w:contextualSpacing w:val="false"/>
        <w:jc w:val="both"/>
        <w:rPr/>
      </w:pPr>
      <w:r>
        <w:rPr/>
        <w:t>Organizace zřetelně deklaruje, z jakých zdrojů je její aktivita podporována.</w:t>
      </w:r>
    </w:p>
    <w:p>
      <w:pPr>
        <w:pStyle w:val="ListParagraph"/>
        <w:numPr>
          <w:ilvl w:val="1"/>
          <w:numId w:val="10"/>
        </w:numPr>
        <w:spacing w:before="0" w:after="120"/>
        <w:contextualSpacing w:val="false"/>
        <w:jc w:val="both"/>
        <w:rPr/>
      </w:pPr>
      <w:r>
        <w:rPr/>
        <w:t>Programy, které jsou nabízeny zdarma, musejí mít svého donora. Zajímejte se, kdo za financováním programu skutečně stojí.</w:t>
      </w:r>
    </w:p>
    <w:p>
      <w:pPr>
        <w:pStyle w:val="ListParagraph"/>
        <w:numPr>
          <w:ilvl w:val="0"/>
          <w:numId w:val="10"/>
        </w:numPr>
        <w:spacing w:before="0" w:after="120"/>
        <w:contextualSpacing w:val="false"/>
        <w:jc w:val="both"/>
        <w:rPr/>
      </w:pPr>
      <w:r>
        <w:rPr/>
        <w:t>Program není organizován hromadně (přednášky v tělocvičnách apod.) (maximálně 30 dětí, nebo max. 1 třída)</w:t>
      </w:r>
    </w:p>
    <w:p>
      <w:pPr>
        <w:pStyle w:val="ListParagraph"/>
        <w:numPr>
          <w:ilvl w:val="1"/>
          <w:numId w:val="10"/>
        </w:numPr>
        <w:spacing w:before="0" w:after="120"/>
        <w:contextualSpacing w:val="false"/>
        <w:jc w:val="both"/>
        <w:rPr/>
      </w:pPr>
      <w:r>
        <w:rPr/>
        <w:t>Hromadné předávání informací v rámci krátkodobých aktivit, jednorázových přednášek a besed se ukázalo jako neefektivní.</w:t>
      </w:r>
    </w:p>
    <w:p>
      <w:pPr>
        <w:pStyle w:val="ListParagraph"/>
        <w:numPr>
          <w:ilvl w:val="0"/>
          <w:numId w:val="10"/>
        </w:numPr>
        <w:spacing w:before="0" w:after="120"/>
        <w:contextualSpacing w:val="false"/>
        <w:jc w:val="both"/>
        <w:rPr/>
      </w:pPr>
      <w:r>
        <w:rPr/>
        <w:t>Program nabízí jasné a vyvážené informace – ne zastrašování, sliby, zavádějící informace, zakazování.</w:t>
      </w:r>
    </w:p>
    <w:p>
      <w:pPr>
        <w:pStyle w:val="ListParagraph"/>
        <w:numPr>
          <w:ilvl w:val="0"/>
          <w:numId w:val="10"/>
        </w:numPr>
        <w:spacing w:before="0" w:after="120"/>
        <w:contextualSpacing/>
        <w:jc w:val="both"/>
        <w:rPr/>
      </w:pPr>
      <w:r>
        <w:rPr/>
        <w:t>Program je realizátorem evaluován, škola je seznamována se zpětnou vazbou realizace programu.</w:t>
      </w:r>
    </w:p>
    <w:sectPr>
      <w:headerReference w:type="default" r:id="rId2"/>
      <w:footerReference w:type="even" r:id="rId3"/>
      <w:footerReference w:type="default" r:id="rId4"/>
      <w:type w:val="nextPage"/>
      <w:pgSz w:w="11906" w:h="16838"/>
      <w:pgMar w:left="907" w:right="907" w:gutter="0" w:header="709" w:top="907" w:footer="1134" w:bottom="1191"/>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swiss"/>
    <w:pitch w:val="variable"/>
  </w:font>
  <w:font w:name="Tahoma">
    <w:charset w:val="ee"/>
    <w:family w:val="roman"/>
    <w:pitch w:val="variable"/>
  </w:font>
  <w:font w:name="Arial Narrow">
    <w:charset w:val="ee"/>
    <w:family w:val="roman"/>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ind w:right="360" w:hanging="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Rámec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Zpat"/>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Zpat"/>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Text2"/>
      <w:ind w:right="360" w:hanging="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Rámec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Zpat"/>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503.45pt;mso-position-horizontal:right;mso-position-horizontal-relative:margin">
              <v:fill opacity="0f"/>
              <v:textbox inset="0in,0in,0in,0in">
                <w:txbxContent>
                  <w:p>
                    <w:pPr>
                      <w:pStyle w:val="Zpat"/>
                      <w:pBdr/>
                      <w:rPr>
                        <w:rStyle w:val="Pagenumber"/>
                      </w:rPr>
                    </w:pPr>
                    <w:r>
                      <w:rPr/>
                    </w:r>
                  </w:p>
                </w:txbxContent>
              </v:textbox>
              <w10:wrap type="square"/>
            </v:rect>
          </w:pict>
        </mc:Fallback>
      </mc:AlternateContent>
    </w:r>
  </w:p>
  <w:p>
    <w:pPr>
      <w:pStyle w:val="Zpat"/>
      <w:pBdr>
        <w:top w:val="single" w:sz="6" w:space="1" w:color="000000"/>
        <w:left w:val="single" w:sz="6" w:space="4" w:color="000000"/>
        <w:bottom w:val="single" w:sz="6" w:space="1" w:color="000000"/>
        <w:right w:val="single" w:sz="6" w:space="4" w:color="000000"/>
      </w:pBdr>
      <w:rPr>
        <w:sz w:val="18"/>
      </w:rPr>
    </w:pPr>
    <w:r>
      <w:rPr/>
      <w:tab/>
    </w:r>
    <w:r>
      <w:rPr>
        <w:sz w:val="18"/>
      </w:rPr>
      <w:t xml:space="preserve">03. Prevence sociálně patologických jevů                                                                                        strana </w:t>
    </w:r>
    <w:r>
      <w:rPr>
        <w:rStyle w:val="Pagenumber"/>
        <w:sz w:val="18"/>
      </w:rPr>
      <w:fldChar w:fldCharType="begin"/>
    </w:r>
    <w:r>
      <w:rPr>
        <w:rStyle w:val="Pagenumber"/>
        <w:sz w:val="18"/>
      </w:rPr>
      <w:instrText> PAGE </w:instrText>
    </w:r>
    <w:r>
      <w:rPr>
        <w:rStyle w:val="Pagenumber"/>
        <w:sz w:val="18"/>
      </w:rPr>
      <w:fldChar w:fldCharType="separate"/>
    </w:r>
    <w:r>
      <w:rPr>
        <w:rStyle w:val="Pagenumber"/>
        <w:sz w:val="18"/>
      </w:rPr>
      <w:t>7</w:t>
    </w:r>
    <w:r>
      <w:rPr>
        <w:rStyle w:val="Pagenumber"/>
        <w:sz w:val="18"/>
      </w:rPr>
      <w:fldChar w:fldCharType="end"/>
    </w:r>
    <w:r>
      <w:rPr>
        <w:rStyle w:val="Pagenumber"/>
        <w:sz w:val="18"/>
      </w:rPr>
      <w:t xml:space="preserve"> z počtu </w:t>
    </w:r>
    <w:r>
      <w:rPr>
        <w:rStyle w:val="Pagenumber"/>
        <w:sz w:val="18"/>
      </w:rPr>
      <w:fldChar w:fldCharType="begin"/>
    </w:r>
    <w:r>
      <w:rPr>
        <w:rStyle w:val="Pagenumber"/>
        <w:sz w:val="18"/>
      </w:rPr>
      <w:instrText> NUMPAGES </w:instrText>
    </w:r>
    <w:r>
      <w:rPr>
        <w:rStyle w:val="Pagenumber"/>
        <w:sz w:val="18"/>
      </w:rPr>
      <w:fldChar w:fldCharType="separate"/>
    </w:r>
    <w:r>
      <w:rPr>
        <w:rStyle w:val="Pagenumber"/>
        <w:sz w:val="18"/>
      </w:rPr>
      <w:t>7</w:t>
    </w:r>
    <w:r>
      <w:rPr>
        <w:rStyle w:val="Pagenumber"/>
        <w:sz w:val="18"/>
      </w:rPr>
      <w:fldChar w:fldCharType="end"/>
    </w:r>
  </w:p>
  <w:p>
    <w:pPr>
      <w:pStyle w:val="BodyText2"/>
      <w:rPr/>
    </w:pPr>
    <w:r>
      <w:rPr/>
      <w:tab/>
      <w:tab/>
      <w:tab/>
      <w:tab/>
      <w:tab/>
      <w:tab/>
      <w:tab/>
      <w:tab/>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top w:val="single" w:sz="6" w:space="1" w:color="000000"/>
        <w:left w:val="single" w:sz="6" w:space="4" w:color="000000"/>
        <w:bottom w:val="single" w:sz="6" w:space="1" w:color="000000"/>
        <w:right w:val="single" w:sz="6" w:space="4" w:color="000000"/>
      </w:pBdr>
      <w:jc w:val="center"/>
      <w:rPr>
        <w:sz w:val="18"/>
      </w:rPr>
    </w:pPr>
    <w:r>
      <w:rPr>
        <w:sz w:val="18"/>
      </w:rPr>
      <w:t>Mateřská škola Trpín,</w:t>
    </w:r>
    <w:r>
      <w:rPr>
        <w:sz w:val="18"/>
      </w:rPr>
      <w:t xml:space="preserve"> příspěvková organizace</w:t>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Nadpis8"/>
      <w:numFmt w:val="upperLetter"/>
      <w:lvlText w:val="%1."/>
      <w:lvlJc w:val="left"/>
      <w:pPr>
        <w:tabs>
          <w:tab w:val="num" w:pos="1636"/>
        </w:tabs>
        <w:ind w:left="1636"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lvl w:ilvl="0">
      <w:start w:val="1"/>
      <w:numFmt w:val="lowerLetter"/>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lvl w:ilvl="0">
      <w:start w:val="1"/>
      <w:numFmt w:val="lowerLetter"/>
      <w:lvlText w:val="%1)"/>
      <w:lvlJc w:val="left"/>
      <w:pPr>
        <w:tabs>
          <w:tab w:val="num" w:pos="0"/>
        </w:tabs>
        <w:ind w:left="1383" w:hanging="675"/>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lvl w:ilvl="0">
      <w:start w:val="1"/>
      <w:numFmt w:val="decimal"/>
      <w:lvlText w:val="%1)"/>
      <w:lvlJc w:val="left"/>
      <w:pPr>
        <w:tabs>
          <w:tab w:val="num" w:pos="0"/>
        </w:tabs>
        <w:ind w:left="720" w:hanging="360"/>
      </w:pPr>
      <w:rPr>
        <w:rFonts w:ascii="Calibri" w:hAnsi="Calibri" w:eastAsia="Calibri"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2690"/>
    <w:pPr>
      <w:widowControl/>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Nadpis1">
    <w:name w:val="Heading 1"/>
    <w:basedOn w:val="Normal"/>
    <w:next w:val="Normal"/>
    <w:qFormat/>
    <w:rsid w:val="00052690"/>
    <w:pPr>
      <w:keepNext w:val="true"/>
      <w:jc w:val="both"/>
      <w:outlineLvl w:val="0"/>
    </w:pPr>
    <w:rPr>
      <w:i/>
    </w:rPr>
  </w:style>
  <w:style w:type="paragraph" w:styleId="Nadpis2">
    <w:name w:val="Heading 2"/>
    <w:basedOn w:val="Normal"/>
    <w:next w:val="Normal"/>
    <w:qFormat/>
    <w:rsid w:val="00052690"/>
    <w:pPr>
      <w:keepNext w:val="true"/>
      <w:outlineLvl w:val="1"/>
    </w:pPr>
    <w:rPr>
      <w:sz w:val="24"/>
    </w:rPr>
  </w:style>
  <w:style w:type="paragraph" w:styleId="Nadpis3">
    <w:name w:val="Heading 3"/>
    <w:basedOn w:val="Normal"/>
    <w:next w:val="Normal"/>
    <w:qFormat/>
    <w:rsid w:val="00052690"/>
    <w:pPr>
      <w:keepNext w:val="true"/>
      <w:outlineLvl w:val="2"/>
    </w:pPr>
    <w:rPr>
      <w:i/>
      <w:sz w:val="24"/>
    </w:rPr>
  </w:style>
  <w:style w:type="paragraph" w:styleId="Nadpis4">
    <w:name w:val="Heading 4"/>
    <w:basedOn w:val="Normal"/>
    <w:next w:val="Normal"/>
    <w:qFormat/>
    <w:rsid w:val="00052690"/>
    <w:pPr>
      <w:keepNext w:val="true"/>
      <w:jc w:val="center"/>
      <w:outlineLvl w:val="3"/>
    </w:pPr>
    <w:rPr>
      <w:b/>
      <w:sz w:val="28"/>
    </w:rPr>
  </w:style>
  <w:style w:type="paragraph" w:styleId="Nadpis5">
    <w:name w:val="Heading 5"/>
    <w:basedOn w:val="Normal"/>
    <w:next w:val="Normal"/>
    <w:qFormat/>
    <w:rsid w:val="00052690"/>
    <w:pPr>
      <w:keepNext w:val="true"/>
      <w:jc w:val="center"/>
      <w:outlineLvl w:val="4"/>
    </w:pPr>
    <w:rPr>
      <w:sz w:val="72"/>
    </w:rPr>
  </w:style>
  <w:style w:type="paragraph" w:styleId="Nadpis6">
    <w:name w:val="Heading 6"/>
    <w:basedOn w:val="Normal"/>
    <w:next w:val="Normal"/>
    <w:qFormat/>
    <w:rsid w:val="00052690"/>
    <w:pPr>
      <w:widowControl w:val="false"/>
      <w:spacing w:before="240" w:after="60"/>
      <w:outlineLvl w:val="5"/>
    </w:pPr>
    <w:rPr>
      <w:rFonts w:ascii="Arial" w:hAnsi="Arial"/>
      <w:i/>
      <w:sz w:val="22"/>
    </w:rPr>
  </w:style>
  <w:style w:type="paragraph" w:styleId="Nadpis7">
    <w:name w:val="Heading 7"/>
    <w:basedOn w:val="Normal"/>
    <w:next w:val="Normal"/>
    <w:qFormat/>
    <w:rsid w:val="00052690"/>
    <w:pPr>
      <w:keepNext w:val="true"/>
      <w:jc w:val="both"/>
      <w:outlineLvl w:val="6"/>
    </w:pPr>
    <w:rPr>
      <w:sz w:val="24"/>
    </w:rPr>
  </w:style>
  <w:style w:type="paragraph" w:styleId="Nadpis8">
    <w:name w:val="Heading 8"/>
    <w:basedOn w:val="Normal"/>
    <w:next w:val="Normal"/>
    <w:qFormat/>
    <w:rsid w:val="00052690"/>
    <w:pPr>
      <w:keepNext w:val="true"/>
      <w:widowControl w:val="false"/>
      <w:numPr>
        <w:ilvl w:val="0"/>
        <w:numId w:val="1"/>
      </w:numPr>
      <w:spacing w:before="0" w:after="120"/>
      <w:jc w:val="both"/>
      <w:outlineLvl w:val="0"/>
    </w:pPr>
    <w:rPr>
      <w:b/>
      <w:sz w:val="24"/>
    </w:rPr>
  </w:style>
  <w:style w:type="paragraph" w:styleId="Nadpis9">
    <w:name w:val="Heading 9"/>
    <w:basedOn w:val="Normal"/>
    <w:next w:val="Normal"/>
    <w:qFormat/>
    <w:rsid w:val="00052690"/>
    <w:pPr>
      <w:keepNext w:val="true"/>
      <w:jc w:val="center"/>
      <w:outlineLvl w:val="8"/>
    </w:pPr>
    <w:rPr>
      <w:b/>
      <w:sz w:val="24"/>
    </w:rPr>
  </w:style>
  <w:style w:type="character" w:styleId="DefaultParagraphFont" w:default="1">
    <w:name w:val="Default Paragraph Font"/>
    <w:uiPriority w:val="1"/>
    <w:semiHidden/>
    <w:unhideWhenUsed/>
    <w:qFormat/>
    <w:rPr/>
  </w:style>
  <w:style w:type="character" w:styleId="Ukotvenpoznmkypodarou">
    <w:name w:val="Ukotvení poznámky pod čarou"/>
    <w:rPr>
      <w:vertAlign w:val="superscript"/>
    </w:rPr>
  </w:style>
  <w:style w:type="character" w:styleId="FootnoteCharacters">
    <w:name w:val="Footnote Characters"/>
    <w:basedOn w:val="DefaultParagraphFont"/>
    <w:semiHidden/>
    <w:qFormat/>
    <w:rsid w:val="00052690"/>
    <w:rPr>
      <w:vertAlign w:val="superscript"/>
    </w:rPr>
  </w:style>
  <w:style w:type="character" w:styleId="Pagenumber">
    <w:name w:val="page number"/>
    <w:basedOn w:val="DefaultParagraphFont"/>
    <w:qFormat/>
    <w:rsid w:val="00052690"/>
    <w:rPr/>
  </w:style>
  <w:style w:type="character" w:styleId="Internetovodkaz">
    <w:name w:val="Internetový odkaz"/>
    <w:basedOn w:val="DefaultParagraphFont"/>
    <w:rsid w:val="00052690"/>
    <w:rPr>
      <w:color w:val="0000FF"/>
      <w:u w:val="single"/>
    </w:rPr>
  </w:style>
  <w:style w:type="character" w:styleId="Cleanerperex" w:customStyle="1">
    <w:name w:val="cleaner-perex"/>
    <w:basedOn w:val="DefaultParagraphFont"/>
    <w:qFormat/>
    <w:rsid w:val="00805d98"/>
    <w:rPr/>
  </w:style>
  <w:style w:type="character" w:styleId="Textzaklad" w:customStyle="1">
    <w:name w:val="text-zaklad"/>
    <w:basedOn w:val="DefaultParagraphFont"/>
    <w:qFormat/>
    <w:rsid w:val="001b64f6"/>
    <w:rPr/>
  </w:style>
  <w:style w:type="character" w:styleId="Znakypropoznmkupodarou">
    <w:name w:val="Znaky pro poznámku pod čarou"/>
    <w:qFormat/>
    <w:rPr/>
  </w:style>
  <w:style w:type="character" w:styleId="Symbolyproslovn">
    <w:name w:val="Symboly pro číslování"/>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rsid w:val="00052690"/>
    <w:pPr/>
    <w:rPr>
      <w:sz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Zkladntext21" w:customStyle="1">
    <w:name w:val="Základní text 21"/>
    <w:basedOn w:val="Normal"/>
    <w:qFormat/>
    <w:rsid w:val="00052690"/>
    <w:pPr>
      <w:jc w:val="both"/>
    </w:pPr>
    <w:rPr>
      <w:sz w:val="24"/>
    </w:rPr>
  </w:style>
  <w:style w:type="paragraph" w:styleId="Nzev">
    <w:name w:val="Title"/>
    <w:basedOn w:val="Normal"/>
    <w:qFormat/>
    <w:rsid w:val="00052690"/>
    <w:pPr>
      <w:jc w:val="center"/>
    </w:pPr>
    <w:rPr>
      <w:b/>
      <w:sz w:val="24"/>
    </w:rPr>
  </w:style>
  <w:style w:type="paragraph" w:styleId="ListBullet">
    <w:name w:val="List Bullet"/>
    <w:basedOn w:val="Normal"/>
    <w:autoRedefine/>
    <w:qFormat/>
    <w:rsid w:val="00052690"/>
    <w:pPr>
      <w:widowControl w:val="false"/>
      <w:ind w:left="283" w:hanging="283"/>
    </w:pPr>
    <w:rPr/>
  </w:style>
  <w:style w:type="paragraph" w:styleId="Zhlavazpat">
    <w:name w:val="Záhlaví a zápatí"/>
    <w:basedOn w:val="Normal"/>
    <w:qFormat/>
    <w:pPr/>
    <w:rPr/>
  </w:style>
  <w:style w:type="paragraph" w:styleId="Zpat">
    <w:name w:val="Footer"/>
    <w:basedOn w:val="Normal"/>
    <w:rsid w:val="00052690"/>
    <w:pPr>
      <w:tabs>
        <w:tab w:val="clear" w:pos="708"/>
        <w:tab w:val="center" w:pos="4536" w:leader="none"/>
        <w:tab w:val="right" w:pos="9072" w:leader="none"/>
      </w:tabs>
    </w:pPr>
    <w:rPr/>
  </w:style>
  <w:style w:type="paragraph" w:styleId="Poznmkapodarou">
    <w:name w:val="Footnote Text"/>
    <w:basedOn w:val="Normal"/>
    <w:semiHidden/>
    <w:rsid w:val="00052690"/>
    <w:pPr/>
    <w:rPr/>
  </w:style>
  <w:style w:type="paragraph" w:styleId="BodyText2">
    <w:name w:val="Body Text 2"/>
    <w:basedOn w:val="Normal"/>
    <w:qFormat/>
    <w:rsid w:val="00052690"/>
    <w:pPr>
      <w:jc w:val="both"/>
    </w:pPr>
    <w:rPr>
      <w:sz w:val="16"/>
    </w:rPr>
  </w:style>
  <w:style w:type="paragraph" w:styleId="BodyText3">
    <w:name w:val="Body Text 3"/>
    <w:basedOn w:val="Normal"/>
    <w:qFormat/>
    <w:rsid w:val="00052690"/>
    <w:pPr>
      <w:jc w:val="center"/>
    </w:pPr>
    <w:rPr>
      <w:b/>
      <w:sz w:val="24"/>
    </w:rPr>
  </w:style>
  <w:style w:type="paragraph" w:styleId="BodyTextIndent2">
    <w:name w:val="Body Text Indent 2"/>
    <w:basedOn w:val="Normal"/>
    <w:qFormat/>
    <w:rsid w:val="00052690"/>
    <w:pPr>
      <w:ind w:firstLine="708"/>
      <w:jc w:val="both"/>
    </w:pPr>
    <w:rPr>
      <w:sz w:val="24"/>
    </w:rPr>
  </w:style>
  <w:style w:type="paragraph" w:styleId="Odsazentlatextu">
    <w:name w:val="Body Text Indent"/>
    <w:basedOn w:val="Normal"/>
    <w:rsid w:val="00052690"/>
    <w:pPr>
      <w:ind w:firstLine="360"/>
      <w:jc w:val="both"/>
    </w:pPr>
    <w:rPr>
      <w:sz w:val="24"/>
    </w:rPr>
  </w:style>
  <w:style w:type="paragraph" w:styleId="BalloonText">
    <w:name w:val="Balloon Text"/>
    <w:basedOn w:val="Normal"/>
    <w:semiHidden/>
    <w:qFormat/>
    <w:rsid w:val="008210d2"/>
    <w:pPr/>
    <w:rPr>
      <w:rFonts w:ascii="Tahoma" w:hAnsi="Tahoma" w:cs="Tahoma"/>
      <w:sz w:val="16"/>
      <w:szCs w:val="16"/>
    </w:rPr>
  </w:style>
  <w:style w:type="paragraph" w:styleId="Zhlav">
    <w:name w:val="Header"/>
    <w:basedOn w:val="Normal"/>
    <w:rsid w:val="00bc6b18"/>
    <w:pPr>
      <w:tabs>
        <w:tab w:val="clear" w:pos="708"/>
        <w:tab w:val="center" w:pos="4536" w:leader="none"/>
        <w:tab w:val="right" w:pos="9072" w:leader="none"/>
      </w:tabs>
    </w:pPr>
    <w:rPr/>
  </w:style>
  <w:style w:type="paragraph" w:styleId="Textkolonky" w:customStyle="1">
    <w:name w:val="Text kolonky"/>
    <w:basedOn w:val="Normal"/>
    <w:qFormat/>
    <w:rsid w:val="006c1659"/>
    <w:pPr>
      <w:spacing w:before="40" w:after="0"/>
    </w:pPr>
    <w:rPr>
      <w:rFonts w:ascii="Arial Narrow" w:hAnsi="Arial Narrow"/>
      <w:spacing w:val="8"/>
      <w:kern w:val="2"/>
      <w:sz w:val="22"/>
    </w:rPr>
  </w:style>
  <w:style w:type="paragraph" w:styleId="Oddl" w:customStyle="1">
    <w:name w:val="Oddíl"/>
    <w:basedOn w:val="Textkolonky"/>
    <w:qFormat/>
    <w:rsid w:val="006c1659"/>
    <w:pPr>
      <w:spacing w:before="40" w:after="40"/>
      <w:jc w:val="center"/>
    </w:pPr>
    <w:rPr>
      <w:b/>
    </w:rPr>
  </w:style>
  <w:style w:type="paragraph" w:styleId="BlockText">
    <w:name w:val="Block Text"/>
    <w:basedOn w:val="Normal"/>
    <w:qFormat/>
    <w:rsid w:val="00f35d35"/>
    <w:pPr>
      <w:shd w:val="clear" w:color="auto" w:fill="FFFFFF"/>
      <w:spacing w:before="0" w:after="101"/>
      <w:ind w:left="101" w:right="406" w:hanging="0"/>
    </w:pPr>
    <w:rPr>
      <w:rFonts w:ascii="Arial" w:hAnsi="Arial" w:cs="Arial"/>
      <w:color w:val="000000"/>
      <w:sz w:val="19"/>
      <w:szCs w:val="19"/>
    </w:rPr>
  </w:style>
  <w:style w:type="paragraph" w:styleId="DocumentMap">
    <w:name w:val="Document Map"/>
    <w:basedOn w:val="Normal"/>
    <w:semiHidden/>
    <w:qFormat/>
    <w:rsid w:val="00025872"/>
    <w:pPr>
      <w:shd w:val="clear" w:color="auto" w:fill="000080"/>
    </w:pPr>
    <w:rPr>
      <w:rFonts w:ascii="Tahoma" w:hAnsi="Tahoma" w:cs="Tahoma"/>
    </w:rPr>
  </w:style>
  <w:style w:type="paragraph" w:styleId="DefinitionTerm" w:customStyle="1">
    <w:name w:val="Definition Term"/>
    <w:basedOn w:val="Normal"/>
    <w:next w:val="Normal"/>
    <w:qFormat/>
    <w:rsid w:val="00980033"/>
    <w:pPr>
      <w:widowControl w:val="false"/>
      <w:overflowPunct w:val="true"/>
      <w:textAlignment w:val="baseline"/>
    </w:pPr>
    <w:rPr>
      <w:sz w:val="24"/>
    </w:rPr>
  </w:style>
  <w:style w:type="paragraph" w:styleId="ListParagraph">
    <w:name w:val="List Paragraph"/>
    <w:basedOn w:val="Normal"/>
    <w:uiPriority w:val="34"/>
    <w:qFormat/>
    <w:rsid w:val="001b64f6"/>
    <w:pPr>
      <w:spacing w:before="0" w:after="0"/>
      <w:ind w:left="720" w:hanging="0"/>
      <w:contextualSpacing/>
    </w:pPr>
    <w:rPr>
      <w:sz w:val="24"/>
      <w:szCs w:val="24"/>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9269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9E67C-F933-43D0-A10C-1CA48E63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LibreOffice/7.2.5.2$Windows_X86_64 LibreOffice_project/499f9727c189e6ef3471021d6132d4c694f357e5</Application>
  <AppVersion>15.0000</AppVersion>
  <Pages>7</Pages>
  <Words>2459</Words>
  <Characters>15348</Characters>
  <CharactersWithSpaces>17792</CharactersWithSpaces>
  <Paragraphs>149</Paragraphs>
  <Company>MŠMT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Kartotéka - směrnice</cp:category>
  <dcterms:created xsi:type="dcterms:W3CDTF">2018-03-09T05:16:00Z</dcterms:created>
  <dc:creator>PaedDr. Jan Mikáč</dc:creator>
  <dc:description/>
  <dc:language>cs-CZ</dc:language>
  <cp:lastModifiedBy/>
  <cp:lastPrinted>2026-04-21T11:59:16Z</cp:lastPrinted>
  <dcterms:modified xsi:type="dcterms:W3CDTF">2026-04-21T12:00:01Z</dcterms:modified>
  <cp:revision>7</cp:revision>
  <dc:subject/>
  <dc:title>3. Prevence rizikového chování</dc:title>
</cp:coreProperties>
</file>

<file path=docProps/custom.xml><?xml version="1.0" encoding="utf-8"?>
<Properties xmlns="http://schemas.openxmlformats.org/officeDocument/2006/custom-properties" xmlns:vt="http://schemas.openxmlformats.org/officeDocument/2006/docPropsVTypes"/>
</file>